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8006" w14:textId="5D4985E8" w:rsidR="00CB36A7" w:rsidRPr="009F0189" w:rsidRDefault="00B20ACB" w:rsidP="00103402">
      <w:pPr>
        <w:rPr>
          <w:rFonts w:ascii="Segoe UI" w:hAnsi="Segoe UI" w:cs="Segoe UI"/>
          <w:sz w:val="22"/>
          <w:szCs w:val="22"/>
        </w:rPr>
      </w:pPr>
      <w:r w:rsidRPr="009F0189">
        <w:rPr>
          <w:rFonts w:ascii="Segoe UI" w:hAnsi="Segoe UI" w:cs="Segoe UI"/>
          <w:noProof/>
          <w:sz w:val="22"/>
          <w:szCs w:val="22"/>
        </w:rPr>
        <w:drawing>
          <wp:anchor distT="0" distB="0" distL="114300" distR="114300" simplePos="0" relativeHeight="251658240" behindDoc="0" locked="0" layoutInCell="1" allowOverlap="1" wp14:anchorId="375B8494" wp14:editId="72EF9F64">
            <wp:simplePos x="0" y="0"/>
            <wp:positionH relativeFrom="margin">
              <wp:posOffset>-374650</wp:posOffset>
            </wp:positionH>
            <wp:positionV relativeFrom="margin">
              <wp:posOffset>-450850</wp:posOffset>
            </wp:positionV>
            <wp:extent cx="2780633" cy="4572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0633" cy="457200"/>
                    </a:xfrm>
                    <a:prstGeom prst="rect">
                      <a:avLst/>
                    </a:prstGeom>
                  </pic:spPr>
                </pic:pic>
              </a:graphicData>
            </a:graphic>
          </wp:anchor>
        </w:drawing>
      </w:r>
    </w:p>
    <w:p w14:paraId="376977C3" w14:textId="322B5E63" w:rsidR="000063D6" w:rsidRPr="00103402" w:rsidRDefault="00C127DA" w:rsidP="00103402">
      <w:pPr>
        <w:jc w:val="center"/>
        <w:rPr>
          <w:rFonts w:ascii="Segoe UI" w:hAnsi="Segoe UI" w:cs="Segoe UI"/>
          <w:b/>
          <w:sz w:val="28"/>
          <w:szCs w:val="28"/>
        </w:rPr>
      </w:pPr>
      <w:r w:rsidRPr="00103402">
        <w:rPr>
          <w:rFonts w:ascii="Segoe UI" w:hAnsi="Segoe UI" w:cs="Segoe UI"/>
          <w:b/>
          <w:sz w:val="28"/>
          <w:szCs w:val="28"/>
        </w:rPr>
        <w:t>Syllabus</w:t>
      </w:r>
      <w:r w:rsidR="00CB36A7" w:rsidRPr="00103402">
        <w:rPr>
          <w:rFonts w:ascii="Segoe UI" w:hAnsi="Segoe UI" w:cs="Segoe UI"/>
          <w:b/>
          <w:sz w:val="28"/>
          <w:szCs w:val="28"/>
        </w:rPr>
        <w:t xml:space="preserve"> Template</w:t>
      </w:r>
      <w:r w:rsidR="00816DCC" w:rsidRPr="00103402">
        <w:rPr>
          <w:rFonts w:ascii="Segoe UI" w:hAnsi="Segoe UI" w:cs="Segoe UI"/>
          <w:b/>
          <w:sz w:val="28"/>
          <w:szCs w:val="28"/>
        </w:rPr>
        <w:t xml:space="preserve"> 2.0</w:t>
      </w:r>
      <w:r w:rsidR="00E7117A">
        <w:rPr>
          <w:rFonts w:ascii="Segoe UI" w:hAnsi="Segoe UI" w:cs="Segoe UI"/>
          <w:b/>
          <w:sz w:val="28"/>
          <w:szCs w:val="28"/>
        </w:rPr>
        <w:t xml:space="preserve"> Guidance</w:t>
      </w:r>
    </w:p>
    <w:p w14:paraId="0090F9D0" w14:textId="744A9188" w:rsidR="00675D54" w:rsidRPr="009F0189" w:rsidRDefault="00A90A6F" w:rsidP="00103402">
      <w:pPr>
        <w:jc w:val="center"/>
        <w:rPr>
          <w:rFonts w:ascii="Segoe UI" w:hAnsi="Segoe UI" w:cs="Segoe UI"/>
          <w:sz w:val="22"/>
          <w:szCs w:val="22"/>
        </w:rPr>
      </w:pPr>
      <w:r>
        <w:rPr>
          <w:rFonts w:ascii="Segoe UI" w:hAnsi="Segoe UI" w:cs="Segoe UI"/>
          <w:sz w:val="22"/>
          <w:szCs w:val="22"/>
        </w:rPr>
        <w:t>August 9</w:t>
      </w:r>
      <w:r w:rsidR="00CB36A7" w:rsidRPr="009F0189">
        <w:rPr>
          <w:rFonts w:ascii="Segoe UI" w:hAnsi="Segoe UI" w:cs="Segoe UI"/>
          <w:sz w:val="22"/>
          <w:szCs w:val="22"/>
        </w:rPr>
        <w:t>,</w:t>
      </w:r>
      <w:r w:rsidR="00C127DA" w:rsidRPr="009F0189">
        <w:rPr>
          <w:rFonts w:ascii="Segoe UI" w:hAnsi="Segoe UI" w:cs="Segoe UI"/>
          <w:sz w:val="22"/>
          <w:szCs w:val="22"/>
        </w:rPr>
        <w:t xml:space="preserve"> 201</w:t>
      </w:r>
      <w:r w:rsidR="000063D6" w:rsidRPr="009F0189">
        <w:rPr>
          <w:rFonts w:ascii="Segoe UI" w:hAnsi="Segoe UI" w:cs="Segoe UI"/>
          <w:sz w:val="22"/>
          <w:szCs w:val="22"/>
        </w:rPr>
        <w:t>9</w:t>
      </w:r>
    </w:p>
    <w:p w14:paraId="4E069473" w14:textId="77777777" w:rsidR="00FB3E7F" w:rsidRPr="009F0189" w:rsidRDefault="00FB3E7F" w:rsidP="00103402">
      <w:pPr>
        <w:rPr>
          <w:rFonts w:ascii="Segoe UI" w:hAnsi="Segoe UI" w:cs="Segoe UI"/>
          <w:sz w:val="22"/>
          <w:szCs w:val="22"/>
        </w:rPr>
      </w:pPr>
    </w:p>
    <w:p w14:paraId="53EBE4C4" w14:textId="6FDC0EA4" w:rsidR="00816DCC" w:rsidRPr="00103402" w:rsidRDefault="000063D6" w:rsidP="00103402">
      <w:pPr>
        <w:rPr>
          <w:rFonts w:ascii="Segoe UI" w:hAnsi="Segoe UI" w:cs="Segoe UI"/>
          <w:color w:val="000000"/>
          <w:sz w:val="28"/>
          <w:szCs w:val="28"/>
        </w:rPr>
      </w:pPr>
      <w:r w:rsidRPr="00103402">
        <w:rPr>
          <w:rFonts w:ascii="Segoe UI" w:hAnsi="Segoe UI" w:cs="Segoe UI"/>
          <w:b/>
          <w:color w:val="000000"/>
          <w:sz w:val="28"/>
          <w:szCs w:val="28"/>
        </w:rPr>
        <w:t>Rationale</w:t>
      </w:r>
    </w:p>
    <w:p w14:paraId="7B4C4D4F" w14:textId="1DB8C1B4" w:rsidR="00C127DA" w:rsidRPr="009F0189" w:rsidRDefault="00C127DA" w:rsidP="00103402">
      <w:pPr>
        <w:rPr>
          <w:rFonts w:ascii="Segoe UI" w:hAnsi="Segoe UI" w:cs="Segoe UI"/>
          <w:color w:val="000000"/>
          <w:sz w:val="22"/>
          <w:szCs w:val="22"/>
        </w:rPr>
      </w:pPr>
      <w:r w:rsidRPr="009F0189">
        <w:rPr>
          <w:rFonts w:ascii="Segoe UI" w:hAnsi="Segoe UI" w:cs="Segoe UI"/>
          <w:color w:val="000000"/>
          <w:sz w:val="22"/>
          <w:szCs w:val="22"/>
        </w:rPr>
        <w:t xml:space="preserve">Implement </w:t>
      </w:r>
      <w:r w:rsidR="00BE1DD1" w:rsidRPr="009F0189">
        <w:rPr>
          <w:rFonts w:ascii="Segoe UI" w:hAnsi="Segoe UI" w:cs="Segoe UI"/>
          <w:color w:val="000000"/>
          <w:sz w:val="22"/>
          <w:szCs w:val="22"/>
        </w:rPr>
        <w:t xml:space="preserve">current higher education </w:t>
      </w:r>
      <w:r w:rsidR="006C47BF" w:rsidRPr="009F0189">
        <w:rPr>
          <w:rFonts w:ascii="Segoe UI" w:hAnsi="Segoe UI" w:cs="Segoe UI"/>
          <w:color w:val="000000"/>
          <w:sz w:val="22"/>
          <w:szCs w:val="22"/>
        </w:rPr>
        <w:t xml:space="preserve">pedagogical </w:t>
      </w:r>
      <w:r w:rsidRPr="009F0189">
        <w:rPr>
          <w:rFonts w:ascii="Segoe UI" w:hAnsi="Segoe UI" w:cs="Segoe UI"/>
          <w:color w:val="000000"/>
          <w:sz w:val="22"/>
          <w:szCs w:val="22"/>
        </w:rPr>
        <w:t>b</w:t>
      </w:r>
      <w:r w:rsidR="006C47BF" w:rsidRPr="009F0189">
        <w:rPr>
          <w:rFonts w:ascii="Segoe UI" w:hAnsi="Segoe UI" w:cs="Segoe UI"/>
          <w:color w:val="000000"/>
          <w:sz w:val="22"/>
          <w:szCs w:val="22"/>
        </w:rPr>
        <w:t>est practices</w:t>
      </w:r>
      <w:r w:rsidR="004525BF" w:rsidRPr="009F0189">
        <w:rPr>
          <w:rFonts w:ascii="Segoe UI" w:hAnsi="Segoe UI" w:cs="Segoe UI"/>
          <w:color w:val="000000"/>
          <w:sz w:val="22"/>
          <w:szCs w:val="22"/>
        </w:rPr>
        <w:t xml:space="preserve"> </w:t>
      </w:r>
      <w:r w:rsidR="000063D6" w:rsidRPr="009F0189">
        <w:rPr>
          <w:rFonts w:ascii="Segoe UI" w:hAnsi="Segoe UI" w:cs="Segoe UI"/>
          <w:color w:val="000000"/>
          <w:sz w:val="22"/>
          <w:szCs w:val="22"/>
        </w:rPr>
        <w:t xml:space="preserve">to meet </w:t>
      </w:r>
      <w:r w:rsidR="004525BF" w:rsidRPr="009F0189">
        <w:rPr>
          <w:rFonts w:ascii="Segoe UI" w:hAnsi="Segoe UI" w:cs="Segoe UI"/>
          <w:color w:val="000000"/>
          <w:sz w:val="22"/>
          <w:szCs w:val="22"/>
        </w:rPr>
        <w:t xml:space="preserve">campus </w:t>
      </w:r>
      <w:r w:rsidR="000063D6" w:rsidRPr="009F0189">
        <w:rPr>
          <w:rFonts w:ascii="Segoe UI" w:hAnsi="Segoe UI" w:cs="Segoe UI"/>
          <w:color w:val="000000"/>
          <w:sz w:val="22"/>
          <w:szCs w:val="22"/>
        </w:rPr>
        <w:t xml:space="preserve">and accreditation </w:t>
      </w:r>
      <w:r w:rsidR="004525BF" w:rsidRPr="009F0189">
        <w:rPr>
          <w:rFonts w:ascii="Segoe UI" w:hAnsi="Segoe UI" w:cs="Segoe UI"/>
          <w:color w:val="000000"/>
          <w:sz w:val="22"/>
          <w:szCs w:val="22"/>
        </w:rPr>
        <w:t>requirements</w:t>
      </w:r>
      <w:r w:rsidR="000063D6" w:rsidRPr="009F0189">
        <w:rPr>
          <w:rFonts w:ascii="Segoe UI" w:hAnsi="Segoe UI" w:cs="Segoe UI"/>
          <w:color w:val="000000"/>
          <w:sz w:val="22"/>
          <w:szCs w:val="22"/>
        </w:rPr>
        <w:t>.</w:t>
      </w:r>
    </w:p>
    <w:p w14:paraId="14616906" w14:textId="30997314" w:rsidR="00B748CE" w:rsidRDefault="00B748CE" w:rsidP="00103402">
      <w:pPr>
        <w:rPr>
          <w:rFonts w:ascii="Segoe UI" w:hAnsi="Segoe UI" w:cs="Segoe UI"/>
          <w:color w:val="000000"/>
          <w:sz w:val="22"/>
          <w:szCs w:val="22"/>
        </w:rPr>
      </w:pPr>
    </w:p>
    <w:p w14:paraId="6DCA89D9" w14:textId="77777777" w:rsidR="00E7117A" w:rsidRPr="00103402" w:rsidRDefault="00E7117A" w:rsidP="00E7117A">
      <w:pPr>
        <w:rPr>
          <w:rFonts w:ascii="Segoe UI" w:hAnsi="Segoe UI" w:cs="Segoe UI"/>
          <w:b/>
          <w:sz w:val="28"/>
          <w:szCs w:val="28"/>
        </w:rPr>
      </w:pPr>
      <w:r w:rsidRPr="00103402">
        <w:rPr>
          <w:rFonts w:ascii="Segoe UI" w:hAnsi="Segoe UI" w:cs="Segoe UI"/>
          <w:b/>
          <w:color w:val="000000"/>
          <w:sz w:val="28"/>
          <w:szCs w:val="28"/>
        </w:rPr>
        <w:t>Implementation Plan</w:t>
      </w:r>
    </w:p>
    <w:p w14:paraId="0E173F2C" w14:textId="77777777" w:rsidR="00E7117A" w:rsidRPr="00E7117A" w:rsidRDefault="00E7117A" w:rsidP="00E7117A">
      <w:pPr>
        <w:rPr>
          <w:rFonts w:ascii="Segoe UI" w:hAnsi="Segoe UI" w:cs="Segoe UI"/>
          <w:color w:val="000000"/>
          <w:sz w:val="22"/>
          <w:szCs w:val="22"/>
        </w:rPr>
      </w:pPr>
      <w:r w:rsidRPr="00E7117A">
        <w:rPr>
          <w:rFonts w:ascii="Segoe UI" w:hAnsi="Segoe UI" w:cs="Segoe UI"/>
          <w:color w:val="000000"/>
          <w:sz w:val="22"/>
          <w:szCs w:val="22"/>
        </w:rPr>
        <w:t>All faculty are encouraged to:</w:t>
      </w:r>
    </w:p>
    <w:p w14:paraId="024598D0" w14:textId="77777777" w:rsidR="00E7117A" w:rsidRDefault="00E7117A" w:rsidP="00E7117A">
      <w:pPr>
        <w:pStyle w:val="ListParagraph"/>
        <w:numPr>
          <w:ilvl w:val="0"/>
          <w:numId w:val="15"/>
        </w:numPr>
        <w:contextualSpacing w:val="0"/>
        <w:rPr>
          <w:rFonts w:ascii="Segoe UI" w:hAnsi="Segoe UI" w:cs="Segoe UI"/>
          <w:color w:val="000000"/>
          <w:sz w:val="22"/>
          <w:szCs w:val="22"/>
        </w:rPr>
      </w:pPr>
      <w:r>
        <w:rPr>
          <w:rFonts w:ascii="Segoe UI" w:hAnsi="Segoe UI" w:cs="Segoe UI"/>
          <w:color w:val="000000"/>
          <w:sz w:val="22"/>
          <w:szCs w:val="22"/>
        </w:rPr>
        <w:t>U</w:t>
      </w:r>
      <w:r w:rsidRPr="009F0189">
        <w:rPr>
          <w:rFonts w:ascii="Segoe UI" w:hAnsi="Segoe UI" w:cs="Segoe UI"/>
          <w:color w:val="000000"/>
          <w:sz w:val="22"/>
          <w:szCs w:val="22"/>
        </w:rPr>
        <w:t>se the Gillings Syllabus Template 2.0 for their course</w:t>
      </w:r>
      <w:r>
        <w:rPr>
          <w:rFonts w:ascii="Segoe UI" w:hAnsi="Segoe UI" w:cs="Segoe UI"/>
          <w:color w:val="000000"/>
          <w:sz w:val="22"/>
          <w:szCs w:val="22"/>
        </w:rPr>
        <w:t xml:space="preserve"> delivery.  </w:t>
      </w:r>
    </w:p>
    <w:p w14:paraId="7CACD2CF" w14:textId="7B47811A" w:rsidR="00E7117A" w:rsidRDefault="00E7117A" w:rsidP="00E7117A">
      <w:pPr>
        <w:pStyle w:val="ListParagraph"/>
        <w:numPr>
          <w:ilvl w:val="1"/>
          <w:numId w:val="15"/>
        </w:numPr>
        <w:contextualSpacing w:val="0"/>
        <w:rPr>
          <w:rFonts w:ascii="Segoe UI" w:hAnsi="Segoe UI" w:cs="Segoe UI"/>
          <w:color w:val="000000"/>
          <w:sz w:val="22"/>
          <w:szCs w:val="22"/>
        </w:rPr>
      </w:pPr>
      <w:r>
        <w:rPr>
          <w:rFonts w:ascii="Segoe UI" w:hAnsi="Segoe UI" w:cs="Segoe UI"/>
          <w:color w:val="000000"/>
          <w:sz w:val="22"/>
          <w:szCs w:val="22"/>
        </w:rPr>
        <w:t xml:space="preserve">Delete blue highlighted </w:t>
      </w:r>
      <w:r w:rsidR="00844E5D" w:rsidRPr="00844E5D">
        <w:rPr>
          <w:rFonts w:ascii="Segoe UI" w:hAnsi="Segoe UI" w:cs="Segoe UI"/>
          <w:color w:val="000000"/>
          <w:sz w:val="22"/>
          <w:szCs w:val="22"/>
          <w:highlight w:val="cyan"/>
        </w:rPr>
        <w:t>[I</w:t>
      </w:r>
      <w:r w:rsidRPr="00844E5D">
        <w:rPr>
          <w:rFonts w:ascii="Segoe UI" w:hAnsi="Segoe UI" w:cs="Segoe UI"/>
          <w:color w:val="000000"/>
          <w:sz w:val="22"/>
          <w:szCs w:val="22"/>
          <w:highlight w:val="cyan"/>
        </w:rPr>
        <w:t>nstructions</w:t>
      </w:r>
      <w:r w:rsidR="00844E5D" w:rsidRPr="00844E5D">
        <w:rPr>
          <w:rFonts w:ascii="Segoe UI" w:hAnsi="Segoe UI" w:cs="Segoe UI"/>
          <w:color w:val="000000"/>
          <w:sz w:val="22"/>
          <w:szCs w:val="22"/>
          <w:highlight w:val="cyan"/>
        </w:rPr>
        <w:t>]</w:t>
      </w:r>
      <w:r>
        <w:rPr>
          <w:rFonts w:ascii="Segoe UI" w:hAnsi="Segoe UI" w:cs="Segoe UI"/>
          <w:color w:val="000000"/>
          <w:sz w:val="22"/>
          <w:szCs w:val="22"/>
        </w:rPr>
        <w:t xml:space="preserve"> after using them.  </w:t>
      </w:r>
    </w:p>
    <w:p w14:paraId="2CDF3FD8" w14:textId="3A2C5D94" w:rsidR="00E7117A" w:rsidRDefault="00E7117A" w:rsidP="00E7117A">
      <w:pPr>
        <w:pStyle w:val="ListParagraph"/>
        <w:numPr>
          <w:ilvl w:val="1"/>
          <w:numId w:val="15"/>
        </w:numPr>
        <w:contextualSpacing w:val="0"/>
        <w:rPr>
          <w:rFonts w:ascii="Segoe UI" w:hAnsi="Segoe UI" w:cs="Segoe UI"/>
          <w:color w:val="000000"/>
          <w:sz w:val="22"/>
          <w:szCs w:val="22"/>
        </w:rPr>
      </w:pPr>
      <w:r>
        <w:rPr>
          <w:rFonts w:ascii="Segoe UI" w:hAnsi="Segoe UI" w:cs="Segoe UI"/>
          <w:color w:val="000000"/>
          <w:sz w:val="22"/>
          <w:szCs w:val="22"/>
        </w:rPr>
        <w:t xml:space="preserve">Delete yellow highlighted </w:t>
      </w:r>
      <w:r w:rsidRPr="00844E5D">
        <w:rPr>
          <w:rFonts w:ascii="Segoe UI" w:hAnsi="Segoe UI" w:cs="Segoe UI"/>
          <w:color w:val="000000"/>
          <w:sz w:val="22"/>
          <w:szCs w:val="22"/>
          <w:highlight w:val="yellow"/>
        </w:rPr>
        <w:t>[Example</w:t>
      </w:r>
      <w:r w:rsidR="00844E5D" w:rsidRPr="00844E5D">
        <w:rPr>
          <w:rFonts w:ascii="Segoe UI" w:hAnsi="Segoe UI" w:cs="Segoe UI"/>
          <w:color w:val="000000"/>
          <w:sz w:val="22"/>
          <w:szCs w:val="22"/>
          <w:highlight w:val="yellow"/>
        </w:rPr>
        <w:t>s</w:t>
      </w:r>
      <w:r w:rsidRPr="00844E5D">
        <w:rPr>
          <w:rFonts w:ascii="Segoe UI" w:hAnsi="Segoe UI" w:cs="Segoe UI"/>
          <w:color w:val="000000"/>
          <w:sz w:val="22"/>
          <w:szCs w:val="22"/>
          <w:highlight w:val="yellow"/>
        </w:rPr>
        <w:t>]</w:t>
      </w:r>
      <w:r>
        <w:rPr>
          <w:rFonts w:ascii="Segoe UI" w:hAnsi="Segoe UI" w:cs="Segoe UI"/>
          <w:color w:val="000000"/>
          <w:sz w:val="22"/>
          <w:szCs w:val="22"/>
        </w:rPr>
        <w:t xml:space="preserve"> and edit/delete example text as it applies to your course.</w:t>
      </w:r>
    </w:p>
    <w:p w14:paraId="0BC77747" w14:textId="77777777" w:rsidR="00E7117A" w:rsidRDefault="00E7117A" w:rsidP="009F43B3">
      <w:pPr>
        <w:pStyle w:val="ListParagraph"/>
        <w:numPr>
          <w:ilvl w:val="0"/>
          <w:numId w:val="15"/>
        </w:numPr>
        <w:contextualSpacing w:val="0"/>
        <w:rPr>
          <w:rFonts w:ascii="Segoe UI" w:hAnsi="Segoe UI" w:cs="Segoe UI"/>
          <w:color w:val="000000"/>
          <w:sz w:val="22"/>
          <w:szCs w:val="22"/>
        </w:rPr>
      </w:pPr>
      <w:r w:rsidRPr="00E7117A">
        <w:rPr>
          <w:rFonts w:ascii="Segoe UI" w:hAnsi="Segoe UI" w:cs="Segoe UI"/>
          <w:color w:val="000000"/>
          <w:sz w:val="22"/>
          <w:szCs w:val="22"/>
        </w:rPr>
        <w:t>On the first day of class</w:t>
      </w:r>
      <w:r>
        <w:rPr>
          <w:rFonts w:ascii="Segoe UI" w:hAnsi="Segoe UI" w:cs="Segoe UI"/>
          <w:color w:val="000000"/>
          <w:sz w:val="22"/>
          <w:szCs w:val="22"/>
        </w:rPr>
        <w:t>:</w:t>
      </w:r>
    </w:p>
    <w:p w14:paraId="0BA528E3" w14:textId="59929900" w:rsidR="00E7117A" w:rsidRPr="00E7117A" w:rsidRDefault="00E7117A" w:rsidP="00E7117A">
      <w:pPr>
        <w:pStyle w:val="ListParagraph"/>
        <w:numPr>
          <w:ilvl w:val="1"/>
          <w:numId w:val="15"/>
        </w:numPr>
        <w:contextualSpacing w:val="0"/>
        <w:rPr>
          <w:rFonts w:ascii="Segoe UI" w:hAnsi="Segoe UI" w:cs="Segoe UI"/>
          <w:color w:val="000000"/>
          <w:sz w:val="22"/>
          <w:szCs w:val="22"/>
        </w:rPr>
      </w:pPr>
      <w:proofErr w:type="gramStart"/>
      <w:r>
        <w:rPr>
          <w:rFonts w:ascii="Segoe UI" w:hAnsi="Segoe UI" w:cs="Segoe UI"/>
          <w:color w:val="000000"/>
          <w:sz w:val="22"/>
          <w:szCs w:val="22"/>
        </w:rPr>
        <w:t>r</w:t>
      </w:r>
      <w:r w:rsidRPr="00E7117A">
        <w:rPr>
          <w:rFonts w:ascii="Segoe UI" w:hAnsi="Segoe UI" w:cs="Segoe UI"/>
          <w:color w:val="000000"/>
          <w:sz w:val="22"/>
          <w:szCs w:val="22"/>
        </w:rPr>
        <w:t>eview</w:t>
      </w:r>
      <w:proofErr w:type="gramEnd"/>
      <w:r w:rsidRPr="00E7117A">
        <w:rPr>
          <w:rFonts w:ascii="Segoe UI" w:hAnsi="Segoe UI" w:cs="Segoe UI"/>
          <w:color w:val="000000"/>
          <w:sz w:val="22"/>
          <w:szCs w:val="22"/>
        </w:rPr>
        <w:t xml:space="preserve"> the syllabus </w:t>
      </w:r>
      <w:r>
        <w:rPr>
          <w:rFonts w:ascii="Segoe UI" w:hAnsi="Segoe UI" w:cs="Segoe UI"/>
          <w:color w:val="000000"/>
          <w:sz w:val="22"/>
          <w:szCs w:val="22"/>
        </w:rPr>
        <w:t>and a</w:t>
      </w:r>
      <w:r w:rsidRPr="00E7117A">
        <w:rPr>
          <w:rFonts w:ascii="Segoe UI" w:hAnsi="Segoe UI" w:cs="Segoe UI"/>
          <w:color w:val="000000"/>
          <w:sz w:val="22"/>
          <w:szCs w:val="22"/>
        </w:rPr>
        <w:t xml:space="preserve">ppendix to clearly </w:t>
      </w:r>
      <w:r w:rsidR="00A90A6F">
        <w:rPr>
          <w:rFonts w:ascii="Segoe UI" w:hAnsi="Segoe UI" w:cs="Segoe UI"/>
          <w:color w:val="000000"/>
          <w:sz w:val="22"/>
          <w:szCs w:val="22"/>
        </w:rPr>
        <w:t>show</w:t>
      </w:r>
      <w:r w:rsidRPr="00E7117A">
        <w:rPr>
          <w:rFonts w:ascii="Segoe UI" w:hAnsi="Segoe UI" w:cs="Segoe UI"/>
          <w:color w:val="000000"/>
          <w:sz w:val="22"/>
          <w:szCs w:val="22"/>
        </w:rPr>
        <w:t xml:space="preserve"> students where they can </w:t>
      </w:r>
      <w:r w:rsidR="00A90A6F">
        <w:rPr>
          <w:rFonts w:ascii="Segoe UI" w:hAnsi="Segoe UI" w:cs="Segoe UI"/>
          <w:color w:val="000000"/>
          <w:sz w:val="22"/>
          <w:szCs w:val="22"/>
        </w:rPr>
        <w:t>find</w:t>
      </w:r>
      <w:r w:rsidRPr="00E7117A">
        <w:rPr>
          <w:rFonts w:ascii="Segoe UI" w:hAnsi="Segoe UI" w:cs="Segoe UI"/>
          <w:color w:val="000000"/>
          <w:sz w:val="22"/>
          <w:szCs w:val="22"/>
        </w:rPr>
        <w:t xml:space="preserve"> </w:t>
      </w:r>
      <w:r>
        <w:rPr>
          <w:rFonts w:ascii="Segoe UI" w:hAnsi="Segoe UI" w:cs="Segoe UI"/>
          <w:color w:val="000000"/>
          <w:sz w:val="22"/>
          <w:szCs w:val="22"/>
        </w:rPr>
        <w:t xml:space="preserve">details such as course identifiers, </w:t>
      </w:r>
      <w:r w:rsidRPr="00E7117A">
        <w:rPr>
          <w:rFonts w:ascii="Segoe UI" w:hAnsi="Segoe UI" w:cs="Segoe UI"/>
          <w:color w:val="000000"/>
          <w:sz w:val="22"/>
          <w:szCs w:val="22"/>
        </w:rPr>
        <w:t>expectations, policies, and resources.</w:t>
      </w:r>
    </w:p>
    <w:p w14:paraId="554C20F5" w14:textId="3EC03361" w:rsidR="00E7117A"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tell students where </w:t>
      </w:r>
      <w:r>
        <w:rPr>
          <w:rFonts w:ascii="Segoe UI" w:hAnsi="Segoe UI" w:cs="Segoe UI"/>
          <w:color w:val="000000"/>
          <w:sz w:val="22"/>
          <w:szCs w:val="22"/>
        </w:rPr>
        <w:t>session</w:t>
      </w:r>
      <w:r w:rsidR="00844E5D">
        <w:rPr>
          <w:rFonts w:ascii="Segoe UI" w:hAnsi="Segoe UI" w:cs="Segoe UI"/>
          <w:color w:val="000000"/>
          <w:sz w:val="22"/>
          <w:szCs w:val="22"/>
        </w:rPr>
        <w:t xml:space="preserve">-by-session </w:t>
      </w:r>
      <w:r>
        <w:rPr>
          <w:rFonts w:ascii="Segoe UI" w:hAnsi="Segoe UI" w:cs="Segoe UI"/>
          <w:color w:val="000000"/>
          <w:sz w:val="22"/>
          <w:szCs w:val="22"/>
        </w:rPr>
        <w:t>details will be located</w:t>
      </w:r>
      <w:r w:rsidR="00844E5D">
        <w:rPr>
          <w:rFonts w:ascii="Segoe UI" w:hAnsi="Segoe UI" w:cs="Segoe UI"/>
          <w:color w:val="000000"/>
          <w:sz w:val="22"/>
          <w:szCs w:val="22"/>
        </w:rPr>
        <w:t xml:space="preserve">, </w:t>
      </w:r>
      <w:r>
        <w:rPr>
          <w:rFonts w:ascii="Segoe UI" w:hAnsi="Segoe UI" w:cs="Segoe UI"/>
          <w:color w:val="000000"/>
          <w:sz w:val="22"/>
          <w:szCs w:val="22"/>
        </w:rPr>
        <w:t>e</w:t>
      </w:r>
      <w:r w:rsidR="00844E5D">
        <w:rPr>
          <w:rFonts w:ascii="Segoe UI" w:hAnsi="Segoe UI" w:cs="Segoe UI"/>
          <w:color w:val="000000"/>
          <w:sz w:val="22"/>
          <w:szCs w:val="22"/>
        </w:rPr>
        <w:t>.</w:t>
      </w:r>
      <w:r>
        <w:rPr>
          <w:rFonts w:ascii="Segoe UI" w:hAnsi="Segoe UI" w:cs="Segoe UI"/>
          <w:color w:val="000000"/>
          <w:sz w:val="22"/>
          <w:szCs w:val="22"/>
        </w:rPr>
        <w:t xml:space="preserve">g. </w:t>
      </w:r>
      <w:r w:rsidR="00A90A6F" w:rsidRPr="00A90A6F">
        <w:rPr>
          <w:rFonts w:ascii="Segoe UI" w:hAnsi="Segoe UI" w:cs="Segoe UI"/>
          <w:color w:val="000000"/>
          <w:sz w:val="22"/>
          <w:szCs w:val="22"/>
          <w:highlight w:val="yellow"/>
        </w:rPr>
        <w:t>[in Sakai]</w:t>
      </w:r>
      <w:r w:rsidR="00A90A6F">
        <w:rPr>
          <w:rFonts w:ascii="Segoe UI" w:hAnsi="Segoe UI" w:cs="Segoe UI"/>
          <w:color w:val="000000"/>
          <w:sz w:val="22"/>
          <w:szCs w:val="22"/>
        </w:rPr>
        <w:t xml:space="preserve"> you will find:</w:t>
      </w:r>
    </w:p>
    <w:p w14:paraId="0B3F7220" w14:textId="0D83F386" w:rsidR="00844E5D"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Course Schedule (more detailed than the “Course at a Glance</w:t>
      </w:r>
      <w:r w:rsidR="00A90A6F">
        <w:rPr>
          <w:rFonts w:ascii="Segoe UI" w:hAnsi="Segoe UI" w:cs="Segoe UI"/>
          <w:color w:val="000000"/>
          <w:sz w:val="22"/>
          <w:szCs w:val="22"/>
        </w:rPr>
        <w:t>”</w:t>
      </w:r>
      <w:r>
        <w:rPr>
          <w:rFonts w:ascii="Segoe UI" w:hAnsi="Segoe UI" w:cs="Segoe UI"/>
          <w:color w:val="000000"/>
          <w:sz w:val="22"/>
          <w:szCs w:val="22"/>
        </w:rPr>
        <w:t xml:space="preserve"> in the front of the syllabus)</w:t>
      </w:r>
    </w:p>
    <w:p w14:paraId="634002F2" w14:textId="2563DD6E" w:rsidR="00E7117A" w:rsidRPr="009F0189"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Assignment D</w:t>
      </w:r>
      <w:r w:rsidR="00E7117A" w:rsidRPr="009F0189">
        <w:rPr>
          <w:rFonts w:ascii="Segoe UI" w:hAnsi="Segoe UI" w:cs="Segoe UI"/>
          <w:color w:val="000000"/>
          <w:sz w:val="22"/>
          <w:szCs w:val="22"/>
        </w:rPr>
        <w:t>escriptions</w:t>
      </w:r>
    </w:p>
    <w:p w14:paraId="29BDE4A4" w14:textId="4FCFF7F2" w:rsidR="00E7117A" w:rsidRPr="009F0189"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Assignment Grading R</w:t>
      </w:r>
      <w:r w:rsidR="00E7117A" w:rsidRPr="009F0189">
        <w:rPr>
          <w:rFonts w:ascii="Segoe UI" w:hAnsi="Segoe UI" w:cs="Segoe UI"/>
          <w:color w:val="000000"/>
          <w:sz w:val="22"/>
          <w:szCs w:val="22"/>
        </w:rPr>
        <w:t xml:space="preserve">ubrics </w:t>
      </w:r>
    </w:p>
    <w:p w14:paraId="12EC3620" w14:textId="05055910" w:rsidR="00844E5D" w:rsidRDefault="00844E5D" w:rsidP="00844E5D">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tell students</w:t>
      </w:r>
      <w:r>
        <w:rPr>
          <w:rFonts w:ascii="Segoe UI" w:hAnsi="Segoe UI" w:cs="Segoe UI"/>
          <w:color w:val="000000"/>
          <w:sz w:val="22"/>
          <w:szCs w:val="22"/>
        </w:rPr>
        <w:t xml:space="preserve"> how they will be notified of changes, e.g. </w:t>
      </w:r>
      <w:r w:rsidR="00A90A6F">
        <w:rPr>
          <w:rFonts w:ascii="Segoe UI" w:hAnsi="Segoe UI" w:cs="Segoe UI"/>
          <w:color w:val="000000"/>
          <w:sz w:val="22"/>
          <w:szCs w:val="22"/>
        </w:rPr>
        <w:t>any changes to the following will be [</w:t>
      </w:r>
      <w:r w:rsidR="00A90A6F" w:rsidRPr="00A90A6F">
        <w:rPr>
          <w:rFonts w:ascii="Segoe UI" w:hAnsi="Segoe UI" w:cs="Segoe UI"/>
          <w:color w:val="000000"/>
          <w:sz w:val="22"/>
          <w:szCs w:val="22"/>
          <w:highlight w:val="yellow"/>
        </w:rPr>
        <w:t>posted in Sakai]</w:t>
      </w:r>
    </w:p>
    <w:p w14:paraId="11C42376" w14:textId="77777777" w:rsidR="00844E5D"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required readings</w:t>
      </w:r>
    </w:p>
    <w:p w14:paraId="1E14FE5A" w14:textId="77777777" w:rsidR="00844E5D"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assignments</w:t>
      </w:r>
    </w:p>
    <w:p w14:paraId="09047C4D" w14:textId="422D6387" w:rsidR="00844E5D" w:rsidRPr="00844E5D" w:rsidRDefault="00844E5D" w:rsidP="00202D40">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due dates</w:t>
      </w:r>
    </w:p>
    <w:p w14:paraId="74F9428A" w14:textId="77777777" w:rsidR="00E7117A" w:rsidRPr="009F0189" w:rsidRDefault="00E7117A" w:rsidP="00E7117A">
      <w:pPr>
        <w:rPr>
          <w:rFonts w:ascii="Segoe UI" w:hAnsi="Segoe UI" w:cs="Segoe UI"/>
          <w:color w:val="000000"/>
          <w:sz w:val="22"/>
          <w:szCs w:val="22"/>
        </w:rPr>
      </w:pPr>
    </w:p>
    <w:p w14:paraId="197A959B" w14:textId="77777777" w:rsidR="00E7117A" w:rsidRPr="009F0189" w:rsidRDefault="00E7117A" w:rsidP="00E7117A">
      <w:pPr>
        <w:pStyle w:val="ListParagraph"/>
        <w:numPr>
          <w:ilvl w:val="0"/>
          <w:numId w:val="15"/>
        </w:numPr>
        <w:contextualSpacing w:val="0"/>
        <w:rPr>
          <w:rFonts w:ascii="Segoe UI" w:hAnsi="Segoe UI" w:cs="Segoe UI"/>
          <w:color w:val="000000"/>
          <w:sz w:val="22"/>
          <w:szCs w:val="22"/>
        </w:rPr>
      </w:pPr>
      <w:r w:rsidRPr="009F0189">
        <w:rPr>
          <w:rFonts w:ascii="Segoe UI" w:hAnsi="Segoe UI" w:cs="Segoe UI"/>
          <w:b/>
          <w:color w:val="000000"/>
          <w:sz w:val="22"/>
          <w:szCs w:val="22"/>
        </w:rPr>
        <w:t>Effective January 2020</w:t>
      </w:r>
      <w:r w:rsidRPr="009F0189">
        <w:rPr>
          <w:rFonts w:ascii="Segoe UI" w:hAnsi="Segoe UI" w:cs="Segoe UI"/>
          <w:color w:val="000000"/>
          <w:sz w:val="22"/>
          <w:szCs w:val="22"/>
        </w:rPr>
        <w:t>, the following courses are required to be in the Gillings Syllabus Template 2.0:</w:t>
      </w:r>
    </w:p>
    <w:p w14:paraId="0ECA1D53" w14:textId="77777777" w:rsidR="00E7117A" w:rsidRPr="009F0189"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MPH Core and </w:t>
      </w:r>
      <w:r>
        <w:rPr>
          <w:rFonts w:ascii="Segoe UI" w:hAnsi="Segoe UI" w:cs="Segoe UI"/>
          <w:color w:val="000000"/>
          <w:sz w:val="22"/>
          <w:szCs w:val="22"/>
        </w:rPr>
        <w:t>MPH Concentration</w:t>
      </w:r>
    </w:p>
    <w:p w14:paraId="7AD3AD99" w14:textId="77777777" w:rsidR="00E7117A" w:rsidRPr="009F0189" w:rsidRDefault="00E7117A" w:rsidP="00E7117A">
      <w:pPr>
        <w:pStyle w:val="ListParagraph"/>
        <w:numPr>
          <w:ilvl w:val="1"/>
          <w:numId w:val="15"/>
        </w:numPr>
        <w:contextualSpacing w:val="0"/>
        <w:rPr>
          <w:rFonts w:ascii="Segoe UI" w:hAnsi="Segoe UI" w:cs="Segoe UI"/>
          <w:color w:val="000000"/>
          <w:sz w:val="22"/>
          <w:szCs w:val="22"/>
        </w:rPr>
      </w:pPr>
      <w:proofErr w:type="spellStart"/>
      <w:r w:rsidRPr="009F0189">
        <w:rPr>
          <w:rFonts w:ascii="Segoe UI" w:hAnsi="Segoe UI" w:cs="Segoe UI"/>
          <w:color w:val="000000"/>
          <w:sz w:val="22"/>
          <w:szCs w:val="22"/>
        </w:rPr>
        <w:t>DrPH</w:t>
      </w:r>
      <w:proofErr w:type="spellEnd"/>
      <w:r w:rsidRPr="009F0189">
        <w:rPr>
          <w:rFonts w:ascii="Segoe UI" w:hAnsi="Segoe UI" w:cs="Segoe UI"/>
          <w:color w:val="000000"/>
          <w:sz w:val="22"/>
          <w:szCs w:val="22"/>
        </w:rPr>
        <w:t xml:space="preserve"> Core</w:t>
      </w:r>
    </w:p>
    <w:p w14:paraId="25B7CC7B" w14:textId="77777777" w:rsidR="00E7117A" w:rsidRPr="009F0189"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SPHG 600</w:t>
      </w:r>
    </w:p>
    <w:p w14:paraId="172C54F1" w14:textId="77777777" w:rsidR="00E7117A" w:rsidRPr="00103402"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BSPH:</w:t>
      </w:r>
      <w:r>
        <w:rPr>
          <w:rFonts w:ascii="Segoe UI" w:hAnsi="Segoe UI" w:cs="Segoe UI"/>
          <w:color w:val="000000"/>
          <w:sz w:val="22"/>
          <w:szCs w:val="22"/>
        </w:rPr>
        <w:t xml:space="preserve">  </w:t>
      </w:r>
      <w:r w:rsidRPr="00103402">
        <w:rPr>
          <w:rFonts w:ascii="Segoe UI" w:hAnsi="Segoe UI" w:cs="Segoe UI"/>
          <w:color w:val="000000"/>
          <w:sz w:val="22"/>
          <w:szCs w:val="22"/>
        </w:rPr>
        <w:t>BIOS 500H, BIOS 600, BIOS 664, BIOS 691, ENVR 698, EPID 600, HPM 697, SPHG 351, SPHG 352</w:t>
      </w:r>
    </w:p>
    <w:p w14:paraId="1AC35541" w14:textId="77777777" w:rsidR="00E7117A" w:rsidRPr="009F0189"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All </w:t>
      </w:r>
      <w:r w:rsidRPr="009F0189">
        <w:rPr>
          <w:rFonts w:ascii="Segoe UI" w:hAnsi="Segoe UI" w:cs="Segoe UI"/>
          <w:b/>
          <w:color w:val="000000"/>
          <w:sz w:val="22"/>
          <w:szCs w:val="22"/>
        </w:rPr>
        <w:t>new</w:t>
      </w:r>
      <w:r w:rsidRPr="009F0189">
        <w:rPr>
          <w:rFonts w:ascii="Segoe UI" w:hAnsi="Segoe UI" w:cs="Segoe UI"/>
          <w:color w:val="000000"/>
          <w:sz w:val="22"/>
          <w:szCs w:val="22"/>
        </w:rPr>
        <w:t xml:space="preserve"> courses</w:t>
      </w:r>
    </w:p>
    <w:p w14:paraId="52AA5ED3" w14:textId="7B81C0C4" w:rsidR="00E7117A" w:rsidRDefault="00E7117A" w:rsidP="00E7117A">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All courses undergoing </w:t>
      </w:r>
      <w:r w:rsidRPr="009F0189">
        <w:rPr>
          <w:rFonts w:ascii="Segoe UI" w:hAnsi="Segoe UI" w:cs="Segoe UI"/>
          <w:b/>
          <w:color w:val="000000"/>
          <w:sz w:val="22"/>
          <w:szCs w:val="22"/>
        </w:rPr>
        <w:t>changes</w:t>
      </w:r>
      <w:r w:rsidRPr="009F0189">
        <w:rPr>
          <w:rFonts w:ascii="Segoe UI" w:hAnsi="Segoe UI" w:cs="Segoe UI"/>
          <w:color w:val="000000"/>
          <w:sz w:val="22"/>
          <w:szCs w:val="22"/>
        </w:rPr>
        <w:t xml:space="preserve"> in course number, course title, credit hours, content (substantive enough to warrant a change in course description or competencies).</w:t>
      </w:r>
    </w:p>
    <w:p w14:paraId="3BCD25A0" w14:textId="77777777" w:rsidR="00E7117A" w:rsidRPr="00E7117A" w:rsidRDefault="00E7117A" w:rsidP="00E7117A">
      <w:pPr>
        <w:rPr>
          <w:rFonts w:ascii="Segoe UI" w:hAnsi="Segoe UI" w:cs="Segoe UI"/>
          <w:color w:val="000000"/>
          <w:sz w:val="22"/>
          <w:szCs w:val="22"/>
        </w:rPr>
      </w:pPr>
    </w:p>
    <w:p w14:paraId="11E039B4" w14:textId="53647924" w:rsidR="00E7117A" w:rsidRPr="009F0189" w:rsidRDefault="00E7117A" w:rsidP="00E7117A">
      <w:pPr>
        <w:pStyle w:val="ListParagraph"/>
        <w:numPr>
          <w:ilvl w:val="0"/>
          <w:numId w:val="15"/>
        </w:numPr>
        <w:contextualSpacing w:val="0"/>
        <w:rPr>
          <w:rFonts w:ascii="Segoe UI" w:hAnsi="Segoe UI" w:cs="Segoe UI"/>
          <w:color w:val="000000"/>
          <w:sz w:val="22"/>
          <w:szCs w:val="22"/>
        </w:rPr>
      </w:pPr>
      <w:r w:rsidRPr="009F0189">
        <w:rPr>
          <w:rFonts w:ascii="Segoe UI" w:hAnsi="Segoe UI" w:cs="Segoe UI"/>
          <w:b/>
          <w:color w:val="000000"/>
          <w:sz w:val="22"/>
          <w:szCs w:val="22"/>
        </w:rPr>
        <w:t xml:space="preserve">Effective </w:t>
      </w:r>
      <w:r>
        <w:rPr>
          <w:rFonts w:ascii="Segoe UI" w:hAnsi="Segoe UI" w:cs="Segoe UI"/>
          <w:b/>
          <w:color w:val="000000"/>
          <w:sz w:val="22"/>
          <w:szCs w:val="22"/>
        </w:rPr>
        <w:t>Academic Year 2021-2022</w:t>
      </w:r>
      <w:r w:rsidRPr="009F0189">
        <w:rPr>
          <w:rFonts w:ascii="Segoe UI" w:hAnsi="Segoe UI" w:cs="Segoe UI"/>
          <w:color w:val="000000"/>
          <w:sz w:val="22"/>
          <w:szCs w:val="22"/>
        </w:rPr>
        <w:t xml:space="preserve">, </w:t>
      </w:r>
      <w:r>
        <w:rPr>
          <w:rFonts w:ascii="Segoe UI" w:hAnsi="Segoe UI" w:cs="Segoe UI"/>
          <w:color w:val="000000"/>
          <w:sz w:val="22"/>
          <w:szCs w:val="22"/>
        </w:rPr>
        <w:t xml:space="preserve">all Gillings School </w:t>
      </w:r>
      <w:r w:rsidRPr="009F0189">
        <w:rPr>
          <w:rFonts w:ascii="Segoe UI" w:hAnsi="Segoe UI" w:cs="Segoe UI"/>
          <w:color w:val="000000"/>
          <w:sz w:val="22"/>
          <w:szCs w:val="22"/>
        </w:rPr>
        <w:t>courses are required to be in the</w:t>
      </w:r>
      <w:r>
        <w:rPr>
          <w:rFonts w:ascii="Segoe UI" w:hAnsi="Segoe UI" w:cs="Segoe UI"/>
          <w:color w:val="000000"/>
          <w:sz w:val="22"/>
          <w:szCs w:val="22"/>
        </w:rPr>
        <w:t xml:space="preserve"> Gillings Syllabus Template 2.0.</w:t>
      </w:r>
    </w:p>
    <w:p w14:paraId="5BA887CC" w14:textId="77777777" w:rsidR="00844E5D" w:rsidRDefault="00844E5D" w:rsidP="00103402">
      <w:pPr>
        <w:rPr>
          <w:rFonts w:ascii="Segoe UI" w:hAnsi="Segoe UI" w:cs="Segoe UI"/>
          <w:color w:val="000000"/>
          <w:sz w:val="22"/>
          <w:szCs w:val="22"/>
        </w:rPr>
        <w:sectPr w:rsidR="00844E5D" w:rsidSect="00EA5E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D5AE5E8" w14:textId="77777777" w:rsidR="00E7117A" w:rsidRPr="00103402" w:rsidRDefault="00E7117A" w:rsidP="00E7117A">
      <w:pPr>
        <w:rPr>
          <w:rFonts w:ascii="Segoe UI" w:hAnsi="Segoe UI" w:cs="Segoe UI"/>
          <w:b/>
          <w:color w:val="000000"/>
          <w:sz w:val="28"/>
          <w:szCs w:val="28"/>
        </w:rPr>
      </w:pPr>
      <w:r w:rsidRPr="00103402">
        <w:rPr>
          <w:rFonts w:ascii="Segoe UI" w:hAnsi="Segoe UI" w:cs="Segoe UI"/>
          <w:b/>
          <w:color w:val="000000"/>
          <w:sz w:val="28"/>
          <w:szCs w:val="28"/>
        </w:rPr>
        <w:lastRenderedPageBreak/>
        <w:t>Summary of changes in Gillings Syllabus Template to 2.0:</w:t>
      </w:r>
    </w:p>
    <w:p w14:paraId="6332B8F1" w14:textId="77777777" w:rsidR="00E7117A" w:rsidRPr="009F0189" w:rsidRDefault="00E7117A" w:rsidP="00E7117A">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Removed the Table of Contents</w:t>
      </w:r>
    </w:p>
    <w:p w14:paraId="2BEDD037" w14:textId="24823240" w:rsidR="00E7117A" w:rsidRPr="009F0189" w:rsidRDefault="00E7117A" w:rsidP="00E7117A">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Reordered front matter</w:t>
      </w:r>
      <w:r w:rsidR="00691EB8">
        <w:rPr>
          <w:rFonts w:ascii="Segoe UI" w:hAnsi="Segoe UI" w:cs="Segoe UI"/>
          <w:color w:val="000000"/>
          <w:sz w:val="22"/>
          <w:szCs w:val="22"/>
        </w:rPr>
        <w:t xml:space="preserve"> of the Syllabus</w:t>
      </w:r>
      <w:r w:rsidRPr="009F0189">
        <w:rPr>
          <w:rFonts w:ascii="Segoe UI" w:hAnsi="Segoe UI" w:cs="Segoe UI"/>
          <w:color w:val="000000"/>
          <w:sz w:val="22"/>
          <w:szCs w:val="22"/>
        </w:rPr>
        <w:t>:</w:t>
      </w:r>
    </w:p>
    <w:p w14:paraId="5D599F93"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identifiers</w:t>
      </w:r>
    </w:p>
    <w:p w14:paraId="524BC330"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at a Glance</w:t>
      </w:r>
    </w:p>
    <w:p w14:paraId="73551C65" w14:textId="3BAF6E2C" w:rsidR="00E7117A"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Assignment list </w:t>
      </w:r>
      <w:r>
        <w:rPr>
          <w:rFonts w:ascii="Segoe UI" w:hAnsi="Segoe UI" w:cs="Segoe UI"/>
          <w:color w:val="000000"/>
          <w:sz w:val="22"/>
          <w:szCs w:val="22"/>
        </w:rPr>
        <w:t>with</w:t>
      </w:r>
      <w:r w:rsidRPr="009F0189">
        <w:rPr>
          <w:rFonts w:ascii="Segoe UI" w:hAnsi="Segoe UI" w:cs="Segoe UI"/>
          <w:color w:val="000000"/>
          <w:sz w:val="22"/>
          <w:szCs w:val="22"/>
        </w:rPr>
        <w:t xml:space="preserve"> percentage of final course grade</w:t>
      </w:r>
    </w:p>
    <w:p w14:paraId="6A3D088F" w14:textId="77777777" w:rsidR="00A90A6F" w:rsidRDefault="00A90A6F" w:rsidP="00A90A6F">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Competency Map</w:t>
      </w:r>
    </w:p>
    <w:p w14:paraId="232F448E" w14:textId="64C72D56" w:rsidR="00E7117A" w:rsidRPr="009F0189" w:rsidRDefault="00E7117A" w:rsidP="00E7117A">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Moved</w:t>
      </w:r>
      <w:r w:rsidR="00691EB8">
        <w:rPr>
          <w:rFonts w:ascii="Segoe UI" w:hAnsi="Segoe UI" w:cs="Segoe UI"/>
          <w:color w:val="000000"/>
          <w:sz w:val="22"/>
          <w:szCs w:val="22"/>
        </w:rPr>
        <w:t xml:space="preserve"> the following sections to the Syllabus A</w:t>
      </w:r>
      <w:r w:rsidRPr="009F0189">
        <w:rPr>
          <w:rFonts w:ascii="Segoe UI" w:hAnsi="Segoe UI" w:cs="Segoe UI"/>
          <w:color w:val="000000"/>
          <w:sz w:val="22"/>
          <w:szCs w:val="22"/>
        </w:rPr>
        <w:t>ppendix</w:t>
      </w:r>
    </w:p>
    <w:p w14:paraId="47215AA2"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Pr>
          <w:rFonts w:ascii="Segoe UI" w:hAnsi="Segoe UI" w:cs="Segoe UI"/>
          <w:color w:val="000000"/>
          <w:sz w:val="22"/>
          <w:szCs w:val="22"/>
        </w:rPr>
        <w:t>Grading scales</w:t>
      </w:r>
    </w:p>
    <w:p w14:paraId="659EDBFB" w14:textId="6FB0A9AD"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Faculty Expectations (with some edits in sample language</w:t>
      </w:r>
      <w:r>
        <w:rPr>
          <w:rFonts w:ascii="Segoe UI" w:hAnsi="Segoe UI" w:cs="Segoe UI"/>
          <w:color w:val="000000"/>
          <w:sz w:val="22"/>
          <w:szCs w:val="22"/>
        </w:rPr>
        <w:t>*</w:t>
      </w:r>
      <w:r w:rsidRPr="009F0189">
        <w:rPr>
          <w:rFonts w:ascii="Segoe UI" w:hAnsi="Segoe UI" w:cs="Segoe UI"/>
          <w:color w:val="000000"/>
          <w:sz w:val="22"/>
          <w:szCs w:val="22"/>
        </w:rPr>
        <w:t>)</w:t>
      </w:r>
    </w:p>
    <w:p w14:paraId="1A6A11F0" w14:textId="4031C3EF"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Student Expectations (with some edits in sample language</w:t>
      </w:r>
      <w:r>
        <w:rPr>
          <w:rFonts w:ascii="Segoe UI" w:hAnsi="Segoe UI" w:cs="Segoe UI"/>
          <w:color w:val="000000"/>
          <w:sz w:val="22"/>
          <w:szCs w:val="22"/>
        </w:rPr>
        <w:t>*</w:t>
      </w:r>
      <w:r w:rsidRPr="009F0189">
        <w:rPr>
          <w:rFonts w:ascii="Segoe UI" w:hAnsi="Segoe UI" w:cs="Segoe UI"/>
          <w:color w:val="000000"/>
          <w:sz w:val="22"/>
          <w:szCs w:val="22"/>
        </w:rPr>
        <w:t>)</w:t>
      </w:r>
    </w:p>
    <w:p w14:paraId="7F5313C7" w14:textId="77777777" w:rsidR="00691EB8" w:rsidRDefault="00691EB8" w:rsidP="00E7117A">
      <w:pPr>
        <w:pStyle w:val="ListParagraph"/>
        <w:numPr>
          <w:ilvl w:val="1"/>
          <w:numId w:val="16"/>
        </w:numPr>
        <w:contextualSpacing w:val="0"/>
        <w:rPr>
          <w:rFonts w:ascii="Segoe UI" w:hAnsi="Segoe UI" w:cs="Segoe UI"/>
          <w:color w:val="000000"/>
          <w:sz w:val="22"/>
          <w:szCs w:val="22"/>
        </w:rPr>
      </w:pPr>
      <w:r>
        <w:rPr>
          <w:rFonts w:ascii="Segoe UI" w:hAnsi="Segoe UI" w:cs="Segoe UI"/>
          <w:color w:val="000000"/>
          <w:sz w:val="22"/>
          <w:szCs w:val="22"/>
        </w:rPr>
        <w:t>School and c</w:t>
      </w:r>
      <w:r w:rsidR="00E7117A" w:rsidRPr="009F0189">
        <w:rPr>
          <w:rFonts w:ascii="Segoe UI" w:hAnsi="Segoe UI" w:cs="Segoe UI"/>
          <w:color w:val="000000"/>
          <w:sz w:val="22"/>
          <w:szCs w:val="22"/>
        </w:rPr>
        <w:t xml:space="preserve">ampus Resources </w:t>
      </w:r>
      <w:r w:rsidR="00A90A6F">
        <w:rPr>
          <w:rFonts w:ascii="Segoe UI" w:hAnsi="Segoe UI" w:cs="Segoe UI"/>
          <w:color w:val="000000"/>
          <w:sz w:val="22"/>
          <w:szCs w:val="22"/>
        </w:rPr>
        <w:t xml:space="preserve">and </w:t>
      </w:r>
      <w:r w:rsidR="00A90A6F" w:rsidRPr="009F0189">
        <w:rPr>
          <w:rFonts w:ascii="Segoe UI" w:hAnsi="Segoe UI" w:cs="Segoe UI"/>
          <w:color w:val="000000"/>
          <w:sz w:val="22"/>
          <w:szCs w:val="22"/>
        </w:rPr>
        <w:t xml:space="preserve">Policies </w:t>
      </w:r>
      <w:r w:rsidR="00E7117A" w:rsidRPr="009F0189">
        <w:rPr>
          <w:rFonts w:ascii="Segoe UI" w:hAnsi="Segoe UI" w:cs="Segoe UI"/>
          <w:color w:val="000000"/>
          <w:sz w:val="22"/>
          <w:szCs w:val="22"/>
        </w:rPr>
        <w:t xml:space="preserve">(with some </w:t>
      </w:r>
      <w:r>
        <w:rPr>
          <w:rFonts w:ascii="Segoe UI" w:hAnsi="Segoe UI" w:cs="Segoe UI"/>
          <w:color w:val="000000"/>
          <w:sz w:val="22"/>
          <w:szCs w:val="22"/>
        </w:rPr>
        <w:t xml:space="preserve">additions and </w:t>
      </w:r>
      <w:r w:rsidR="00E7117A" w:rsidRPr="009F0189">
        <w:rPr>
          <w:rFonts w:ascii="Segoe UI" w:hAnsi="Segoe UI" w:cs="Segoe UI"/>
          <w:color w:val="000000"/>
          <w:sz w:val="22"/>
          <w:szCs w:val="22"/>
        </w:rPr>
        <w:t>minor edits in language</w:t>
      </w:r>
      <w:r w:rsidR="00A90A6F">
        <w:rPr>
          <w:rFonts w:ascii="Segoe UI" w:hAnsi="Segoe UI" w:cs="Segoe UI"/>
          <w:color w:val="000000"/>
          <w:sz w:val="22"/>
          <w:szCs w:val="22"/>
        </w:rPr>
        <w:t>)</w:t>
      </w:r>
    </w:p>
    <w:p w14:paraId="723EF149" w14:textId="2992C9C3" w:rsidR="00E7117A" w:rsidRPr="00691EB8" w:rsidRDefault="00E7117A" w:rsidP="00691EB8">
      <w:pPr>
        <w:ind w:left="720"/>
        <w:rPr>
          <w:rFonts w:ascii="Segoe UI" w:hAnsi="Segoe UI" w:cs="Segoe UI"/>
          <w:color w:val="000000"/>
          <w:sz w:val="22"/>
          <w:szCs w:val="22"/>
        </w:rPr>
      </w:pPr>
      <w:r w:rsidRPr="00691EB8">
        <w:rPr>
          <w:rFonts w:ascii="Segoe UI" w:hAnsi="Segoe UI" w:cs="Segoe UI"/>
          <w:color w:val="000000"/>
          <w:sz w:val="22"/>
          <w:szCs w:val="22"/>
        </w:rPr>
        <w:t xml:space="preserve">*such as moving specific </w:t>
      </w:r>
      <w:r w:rsidR="00A90A6F" w:rsidRPr="00691EB8">
        <w:rPr>
          <w:rFonts w:ascii="Segoe UI" w:hAnsi="Segoe UI" w:cs="Segoe UI"/>
          <w:color w:val="000000"/>
          <w:sz w:val="22"/>
          <w:szCs w:val="22"/>
        </w:rPr>
        <w:t xml:space="preserve">inclusive excellence </w:t>
      </w:r>
      <w:r w:rsidRPr="00691EB8">
        <w:rPr>
          <w:rFonts w:ascii="Segoe UI" w:hAnsi="Segoe UI" w:cs="Segoe UI"/>
          <w:color w:val="000000"/>
          <w:sz w:val="22"/>
          <w:szCs w:val="22"/>
        </w:rPr>
        <w:t xml:space="preserve">and honor code language to Faculty </w:t>
      </w:r>
      <w:r w:rsidR="00A90A6F" w:rsidRPr="00691EB8">
        <w:rPr>
          <w:rFonts w:ascii="Segoe UI" w:hAnsi="Segoe UI" w:cs="Segoe UI"/>
          <w:color w:val="000000"/>
          <w:sz w:val="22"/>
          <w:szCs w:val="22"/>
        </w:rPr>
        <w:t>and</w:t>
      </w:r>
      <w:r w:rsidRPr="00691EB8">
        <w:rPr>
          <w:rFonts w:ascii="Segoe UI" w:hAnsi="Segoe UI" w:cs="Segoe UI"/>
          <w:color w:val="000000"/>
          <w:sz w:val="22"/>
          <w:szCs w:val="22"/>
        </w:rPr>
        <w:t xml:space="preserve"> Student Expectations sections.</w:t>
      </w:r>
    </w:p>
    <w:p w14:paraId="73BB7A33" w14:textId="24938155" w:rsidR="00E7117A" w:rsidRPr="009F0189" w:rsidRDefault="00E7117A" w:rsidP="00E7117A">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Removed the following sections, with encouragement for faculty to have them readily available for students</w:t>
      </w:r>
      <w:r w:rsidR="00691EB8">
        <w:rPr>
          <w:rFonts w:ascii="Segoe UI" w:hAnsi="Segoe UI" w:cs="Segoe UI"/>
          <w:color w:val="000000"/>
          <w:sz w:val="22"/>
          <w:szCs w:val="22"/>
        </w:rPr>
        <w:t xml:space="preserve"> in a separate document or on Sakai</w:t>
      </w:r>
      <w:r w:rsidRPr="009F0189">
        <w:rPr>
          <w:rFonts w:ascii="Segoe UI" w:hAnsi="Segoe UI" w:cs="Segoe UI"/>
          <w:color w:val="000000"/>
          <w:sz w:val="22"/>
          <w:szCs w:val="22"/>
        </w:rPr>
        <w:t>:</w:t>
      </w:r>
    </w:p>
    <w:p w14:paraId="7A4BD9F4"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Schedule (session by session details)</w:t>
      </w:r>
    </w:p>
    <w:p w14:paraId="4AF56757"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Descriptions</w:t>
      </w:r>
    </w:p>
    <w:p w14:paraId="438A5EA1" w14:textId="77777777" w:rsidR="00E7117A" w:rsidRPr="009F0189" w:rsidRDefault="00E7117A" w:rsidP="00E7117A">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Grading Rubrics</w:t>
      </w:r>
    </w:p>
    <w:p w14:paraId="0368260B" w14:textId="011A5CD8" w:rsidR="00691EB8" w:rsidRPr="009F0189" w:rsidRDefault="00691EB8" w:rsidP="00691EB8">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Faculty have the discretion to</w:t>
      </w:r>
      <w:r w:rsidR="00CD3636">
        <w:rPr>
          <w:rFonts w:ascii="Segoe UI" w:hAnsi="Segoe UI" w:cs="Segoe UI"/>
          <w:color w:val="000000"/>
          <w:sz w:val="22"/>
          <w:szCs w:val="22"/>
        </w:rPr>
        <w:t xml:space="preserve"> insert </w:t>
      </w:r>
      <w:r w:rsidRPr="009F0189">
        <w:rPr>
          <w:rFonts w:ascii="Segoe UI" w:hAnsi="Segoe UI" w:cs="Segoe UI"/>
          <w:color w:val="000000"/>
          <w:sz w:val="22"/>
          <w:szCs w:val="22"/>
        </w:rPr>
        <w:t>the following sections</w:t>
      </w:r>
      <w:r w:rsidR="00CD3636">
        <w:rPr>
          <w:rFonts w:ascii="Segoe UI" w:hAnsi="Segoe UI" w:cs="Segoe UI"/>
          <w:color w:val="000000"/>
          <w:sz w:val="22"/>
          <w:szCs w:val="22"/>
        </w:rPr>
        <w:t xml:space="preserve"> in the Syllabus Appendix</w:t>
      </w:r>
      <w:bookmarkStart w:id="0" w:name="_GoBack"/>
      <w:bookmarkEnd w:id="0"/>
      <w:r w:rsidRPr="009F0189">
        <w:rPr>
          <w:rFonts w:ascii="Segoe UI" w:hAnsi="Segoe UI" w:cs="Segoe UI"/>
          <w:color w:val="000000"/>
          <w:sz w:val="22"/>
          <w:szCs w:val="22"/>
        </w:rPr>
        <w:t>:</w:t>
      </w:r>
    </w:p>
    <w:p w14:paraId="4D881C9B" w14:textId="77777777" w:rsidR="00691EB8" w:rsidRPr="009F0189" w:rsidRDefault="00691EB8" w:rsidP="00691EB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Schedule (session by session details)</w:t>
      </w:r>
    </w:p>
    <w:p w14:paraId="79BE5161" w14:textId="77777777" w:rsidR="00691EB8" w:rsidRPr="009F0189" w:rsidRDefault="00691EB8" w:rsidP="00691EB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Descriptions</w:t>
      </w:r>
    </w:p>
    <w:p w14:paraId="1544E5BC" w14:textId="77777777" w:rsidR="00691EB8" w:rsidRPr="009F0189" w:rsidRDefault="00691EB8" w:rsidP="00691EB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Grading Rubrics</w:t>
      </w:r>
    </w:p>
    <w:p w14:paraId="10159179" w14:textId="77777777" w:rsidR="00E7117A" w:rsidRPr="009F0189" w:rsidRDefault="00E7117A" w:rsidP="00103402">
      <w:pPr>
        <w:rPr>
          <w:rFonts w:ascii="Segoe UI" w:hAnsi="Segoe UI" w:cs="Segoe UI"/>
          <w:color w:val="000000"/>
          <w:sz w:val="22"/>
          <w:szCs w:val="22"/>
        </w:rPr>
      </w:pPr>
    </w:p>
    <w:p w14:paraId="62563A21" w14:textId="26035516" w:rsidR="00816DCC" w:rsidRPr="00103402" w:rsidRDefault="00E7117A" w:rsidP="00103402">
      <w:pPr>
        <w:rPr>
          <w:rFonts w:ascii="Segoe UI" w:hAnsi="Segoe UI" w:cs="Segoe UI"/>
          <w:color w:val="000000"/>
          <w:sz w:val="28"/>
          <w:szCs w:val="28"/>
        </w:rPr>
      </w:pPr>
      <w:r>
        <w:rPr>
          <w:rFonts w:ascii="Segoe UI" w:hAnsi="Segoe UI" w:cs="Segoe UI"/>
          <w:b/>
          <w:color w:val="000000"/>
          <w:sz w:val="28"/>
          <w:szCs w:val="28"/>
        </w:rPr>
        <w:t>References</w:t>
      </w:r>
    </w:p>
    <w:p w14:paraId="7AAC912E" w14:textId="6CF0990A" w:rsidR="009F0189" w:rsidRPr="00103402" w:rsidRDefault="009F0189" w:rsidP="00103402">
      <w:pPr>
        <w:pStyle w:val="ListParagraph"/>
        <w:numPr>
          <w:ilvl w:val="0"/>
          <w:numId w:val="18"/>
        </w:numPr>
        <w:ind w:left="360"/>
        <w:contextualSpacing w:val="0"/>
        <w:rPr>
          <w:rFonts w:ascii="Segoe UI" w:hAnsi="Segoe UI" w:cs="Segoe UI"/>
          <w:b/>
          <w:color w:val="000000"/>
          <w:sz w:val="22"/>
          <w:szCs w:val="22"/>
        </w:rPr>
      </w:pPr>
      <w:r w:rsidRPr="00103402">
        <w:rPr>
          <w:rFonts w:ascii="Segoe UI" w:hAnsi="Segoe UI" w:cs="Segoe UI"/>
          <w:b/>
          <w:color w:val="000000"/>
          <w:sz w:val="22"/>
          <w:szCs w:val="22"/>
        </w:rPr>
        <w:t xml:space="preserve">The Office of Undergraduate Curricula </w:t>
      </w:r>
      <w:hyperlink r:id="rId14" w:history="1">
        <w:r w:rsidRPr="00103402">
          <w:rPr>
            <w:rStyle w:val="Hyperlink"/>
            <w:rFonts w:ascii="Segoe UI" w:hAnsi="Segoe UI" w:cs="Segoe UI"/>
            <w:b/>
            <w:sz w:val="22"/>
            <w:szCs w:val="22"/>
          </w:rPr>
          <w:t>Syllabus Guidelines</w:t>
        </w:r>
      </w:hyperlink>
    </w:p>
    <w:p w14:paraId="1523CE91" w14:textId="6CF34C19" w:rsidR="009F0189" w:rsidRPr="009F0189" w:rsidRDefault="009F0189" w:rsidP="00103402">
      <w:pPr>
        <w:rPr>
          <w:rFonts w:ascii="Segoe UI" w:hAnsi="Segoe UI" w:cs="Segoe UI"/>
          <w:color w:val="000000" w:themeColor="text1"/>
          <w:sz w:val="22"/>
          <w:szCs w:val="22"/>
        </w:rPr>
      </w:pPr>
    </w:p>
    <w:p w14:paraId="60C3DA2E" w14:textId="06CD2E09" w:rsidR="009F0189" w:rsidRPr="009F0189" w:rsidRDefault="009F0189" w:rsidP="00103402">
      <w:pPr>
        <w:shd w:val="clear" w:color="auto" w:fill="FFFFFF"/>
        <w:ind w:left="360"/>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Syllabi are intended primarily as information for students, though sometimes colleagues and administrators also consult them for evidence of the instructor’s expertise. A comprehensive syllabus can be a useful teaching tool. At a minimum, it should tell students</w:t>
      </w:r>
    </w:p>
    <w:p w14:paraId="54961257"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why learning this material might be important (course goals)</w:t>
      </w:r>
    </w:p>
    <w:p w14:paraId="1C4A8892"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what students will be learning (course content)</w:t>
      </w:r>
    </w:p>
    <w:p w14:paraId="72661144"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when the material will be taught (schedule)</w:t>
      </w:r>
    </w:p>
    <w:p w14:paraId="50B161CD"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how it will be taught (instructional procedures)</w:t>
      </w:r>
    </w:p>
    <w:p w14:paraId="4001D84E"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when students will be required to demonstrate their learning (assignments and examination dates)</w:t>
      </w:r>
    </w:p>
    <w:p w14:paraId="21D3F238" w14:textId="77777777" w:rsidR="009F0189" w:rsidRPr="009F0189" w:rsidRDefault="009F0189" w:rsidP="00103402">
      <w:pPr>
        <w:numPr>
          <w:ilvl w:val="0"/>
          <w:numId w:val="19"/>
        </w:numPr>
        <w:shd w:val="clear" w:color="auto" w:fill="FFFFFF"/>
        <w:rPr>
          <w:rFonts w:ascii="Segoe UI" w:eastAsia="Times New Roman" w:hAnsi="Segoe UI" w:cs="Segoe UI"/>
          <w:color w:val="000000" w:themeColor="text1"/>
          <w:sz w:val="22"/>
          <w:szCs w:val="22"/>
        </w:rPr>
      </w:pPr>
      <w:r w:rsidRPr="009F0189">
        <w:rPr>
          <w:rFonts w:ascii="Segoe UI" w:eastAsia="Times New Roman" w:hAnsi="Segoe UI" w:cs="Segoe UI"/>
          <w:color w:val="000000" w:themeColor="text1"/>
          <w:sz w:val="22"/>
          <w:szCs w:val="22"/>
        </w:rPr>
        <w:t>how students’ learning will be assessed (evaluation) and the final grade determined</w:t>
      </w:r>
    </w:p>
    <w:p w14:paraId="4CBB481A" w14:textId="77777777" w:rsidR="009F0189" w:rsidRPr="009F0189" w:rsidRDefault="009F0189" w:rsidP="00103402">
      <w:pPr>
        <w:rPr>
          <w:rFonts w:ascii="Segoe UI" w:hAnsi="Segoe UI" w:cs="Segoe UI"/>
          <w:color w:val="000000" w:themeColor="text1"/>
          <w:sz w:val="22"/>
          <w:szCs w:val="22"/>
        </w:rPr>
      </w:pPr>
    </w:p>
    <w:p w14:paraId="3A4DEA53" w14:textId="76CEE823" w:rsidR="00B748CE" w:rsidRPr="009F0189" w:rsidRDefault="00B748CE" w:rsidP="00103402">
      <w:pPr>
        <w:pStyle w:val="ListParagraph"/>
        <w:numPr>
          <w:ilvl w:val="0"/>
          <w:numId w:val="18"/>
        </w:numPr>
        <w:ind w:left="360"/>
        <w:contextualSpacing w:val="0"/>
        <w:rPr>
          <w:rFonts w:ascii="Segoe UI" w:hAnsi="Segoe UI" w:cs="Segoe UI"/>
          <w:color w:val="000000"/>
          <w:sz w:val="22"/>
          <w:szCs w:val="22"/>
        </w:rPr>
      </w:pPr>
      <w:r w:rsidRPr="00103402">
        <w:rPr>
          <w:rFonts w:ascii="Segoe UI" w:hAnsi="Segoe UI" w:cs="Segoe UI"/>
          <w:b/>
          <w:color w:val="000000"/>
          <w:sz w:val="22"/>
          <w:szCs w:val="22"/>
        </w:rPr>
        <w:t xml:space="preserve">The Administrative Board of The Graduate School’s </w:t>
      </w:r>
      <w:hyperlink r:id="rId15" w:history="1">
        <w:r w:rsidRPr="00103402">
          <w:rPr>
            <w:rStyle w:val="Hyperlink"/>
            <w:rFonts w:ascii="Segoe UI" w:hAnsi="Segoe UI" w:cs="Segoe UI"/>
            <w:b/>
            <w:sz w:val="22"/>
            <w:szCs w:val="22"/>
          </w:rPr>
          <w:t>Statement on Graduate Course Syllabi</w:t>
        </w:r>
      </w:hyperlink>
      <w:r w:rsidRPr="00103402">
        <w:rPr>
          <w:rFonts w:ascii="Segoe UI" w:hAnsi="Segoe UI" w:cs="Segoe UI"/>
          <w:b/>
          <w:color w:val="000000"/>
          <w:sz w:val="22"/>
          <w:szCs w:val="22"/>
        </w:rPr>
        <w:t>,</w:t>
      </w:r>
      <w:r w:rsidRPr="009F0189">
        <w:rPr>
          <w:rFonts w:ascii="Segoe UI" w:hAnsi="Segoe UI" w:cs="Segoe UI"/>
          <w:color w:val="000000"/>
          <w:sz w:val="22"/>
          <w:szCs w:val="22"/>
        </w:rPr>
        <w:t xml:space="preserve"> per Faculty Council Resolution 2012-11.  Approved 11/2014.  Revised 03/2019.</w:t>
      </w:r>
    </w:p>
    <w:p w14:paraId="5A235608" w14:textId="77777777" w:rsidR="00B748CE" w:rsidRPr="009F0189" w:rsidRDefault="00B748CE" w:rsidP="00103402">
      <w:pPr>
        <w:rPr>
          <w:rFonts w:ascii="Segoe UI" w:hAnsi="Segoe UI" w:cs="Segoe UI"/>
          <w:color w:val="000000"/>
          <w:sz w:val="22"/>
          <w:szCs w:val="22"/>
        </w:rPr>
      </w:pPr>
    </w:p>
    <w:p w14:paraId="47B1A4D3" w14:textId="4FDE1246" w:rsidR="000063D6" w:rsidRPr="009F0189" w:rsidRDefault="00975D44" w:rsidP="00103402">
      <w:pPr>
        <w:ind w:left="446" w:right="1440"/>
        <w:jc w:val="both"/>
        <w:rPr>
          <w:rFonts w:ascii="Segoe UI" w:hAnsi="Segoe UI" w:cs="Segoe UI"/>
          <w:sz w:val="22"/>
          <w:szCs w:val="22"/>
        </w:rPr>
      </w:pPr>
      <w:r w:rsidRPr="009F0189">
        <w:rPr>
          <w:rFonts w:ascii="Segoe UI" w:hAnsi="Segoe UI" w:cs="Segoe UI"/>
          <w:sz w:val="22"/>
          <w:szCs w:val="22"/>
        </w:rPr>
        <w:lastRenderedPageBreak/>
        <w:t>“</w:t>
      </w:r>
      <w:r w:rsidR="003163D3" w:rsidRPr="009F0189">
        <w:rPr>
          <w:rFonts w:ascii="Segoe UI" w:hAnsi="Segoe UI" w:cs="Segoe UI"/>
          <w:sz w:val="22"/>
          <w:szCs w:val="22"/>
        </w:rPr>
        <w:t xml:space="preserve">The teaching–learning process develops from clearly communicated expectations. </w:t>
      </w:r>
      <w:r w:rsidR="006D14E8" w:rsidRPr="009F0189">
        <w:rPr>
          <w:rFonts w:ascii="Segoe UI" w:hAnsi="Segoe UI" w:cs="Segoe UI"/>
          <w:sz w:val="22"/>
          <w:szCs w:val="22"/>
        </w:rPr>
        <w:t xml:space="preserve"> </w:t>
      </w:r>
      <w:r w:rsidR="003163D3" w:rsidRPr="009F0189">
        <w:rPr>
          <w:rFonts w:ascii="Segoe UI" w:hAnsi="Segoe UI" w:cs="Segoe UI"/>
          <w:sz w:val="22"/>
          <w:szCs w:val="22"/>
        </w:rPr>
        <w:t>A course syllabus serves as a concise vehicle for providing course scope, defining course parameters, establishing course goals, and setting expectations. It is the blueprint from which faculty establish course structure and students build their experiences. Key syllabus components provide students with the framework to move through the course predictably and systematically.</w:t>
      </w:r>
      <w:r w:rsidRPr="009F0189">
        <w:rPr>
          <w:rFonts w:ascii="Segoe UI" w:hAnsi="Segoe UI" w:cs="Segoe UI"/>
          <w:sz w:val="22"/>
          <w:szCs w:val="22"/>
        </w:rPr>
        <w:t>”</w:t>
      </w:r>
    </w:p>
    <w:p w14:paraId="44C13573" w14:textId="77777777" w:rsidR="009F0189" w:rsidRPr="009F0189" w:rsidRDefault="009F0189" w:rsidP="00103402">
      <w:pPr>
        <w:rPr>
          <w:rFonts w:ascii="Segoe UI" w:hAnsi="Segoe UI" w:cs="Segoe UI"/>
          <w:color w:val="000000"/>
          <w:sz w:val="22"/>
          <w:szCs w:val="22"/>
        </w:rPr>
      </w:pPr>
    </w:p>
    <w:p w14:paraId="04B46CC9" w14:textId="77777777" w:rsidR="00426722" w:rsidRPr="009F0189" w:rsidRDefault="00426722" w:rsidP="00103402">
      <w:pPr>
        <w:ind w:left="360"/>
        <w:rPr>
          <w:rFonts w:ascii="Segoe UI" w:hAnsi="Segoe UI" w:cs="Segoe UI"/>
          <w:sz w:val="22"/>
          <w:szCs w:val="22"/>
        </w:rPr>
      </w:pPr>
      <w:r w:rsidRPr="009F0189">
        <w:rPr>
          <w:rFonts w:ascii="Segoe UI" w:hAnsi="Segoe UI" w:cs="Segoe UI"/>
          <w:sz w:val="22"/>
          <w:szCs w:val="22"/>
        </w:rPr>
        <w:t xml:space="preserve">Best practices indicate the syllabus should contain: </w:t>
      </w:r>
    </w:p>
    <w:p w14:paraId="7323CA59" w14:textId="7789EEB5"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course identifying information, such as course number, class meeting times, and prerequisite courses or knowledge </w:t>
      </w:r>
    </w:p>
    <w:p w14:paraId="1A815B5A" w14:textId="639EB846"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instructor and teaching assistant (if appropriate) identifying information, such as contact information and office hours </w:t>
      </w:r>
    </w:p>
    <w:p w14:paraId="31694C02" w14:textId="54A52EFC"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course goals and key learning objectives specific to the level at which the course is taught, including outcomes and </w:t>
      </w:r>
      <w:r w:rsidRPr="00C16677">
        <w:rPr>
          <w:rFonts w:ascii="Segoe UI" w:hAnsi="Segoe UI" w:cs="Segoe UI"/>
          <w:b/>
          <w:sz w:val="22"/>
          <w:szCs w:val="22"/>
        </w:rPr>
        <w:t>competencies students will develop in the course</w:t>
      </w:r>
      <w:r w:rsidRPr="009F0189">
        <w:rPr>
          <w:rFonts w:ascii="Segoe UI" w:hAnsi="Segoe UI" w:cs="Segoe UI"/>
          <w:sz w:val="22"/>
          <w:szCs w:val="22"/>
        </w:rPr>
        <w:t xml:space="preserve"> and the variety of pedagogical approaches that may be used </w:t>
      </w:r>
    </w:p>
    <w:p w14:paraId="2BECD3DD" w14:textId="7C2E2169"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course requirements and dates, including a class calendar, assignments and readings, exams, or other activities outside class time </w:t>
      </w:r>
    </w:p>
    <w:p w14:paraId="3AAAC70A" w14:textId="21E580CB"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course resources, such as text books, reserved readings, software, and online sites and tools </w:t>
      </w:r>
    </w:p>
    <w:p w14:paraId="3F11724E" w14:textId="6949E8EC"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policies about conduct in class, including attendance, use of technology/electronic devices, class sessions being recorded (if relevant), and preparation/participation expectations </w:t>
      </w:r>
    </w:p>
    <w:p w14:paraId="0375F7F2" w14:textId="4882A05C"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grading policies and expectations </w:t>
      </w:r>
    </w:p>
    <w:p w14:paraId="1C112E78" w14:textId="063B90C8"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statement on the University’s Honor Code, including any instructions specific to the course and its assignments </w:t>
      </w:r>
    </w:p>
    <w:p w14:paraId="02C2A0EB" w14:textId="73008FC2" w:rsidR="00426722"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statements articulating the availability of accessibility resources, writing and learning center assistance, counseling and psychological services, and campus health services </w:t>
      </w:r>
    </w:p>
    <w:p w14:paraId="6BE318DB" w14:textId="1C9E49BD" w:rsidR="00975D44"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 xml:space="preserve">statements valuing diversity and inclusion that acknowledge students’ varied backgrounds (e.g., gender, sexuality, disability, age, socioeconomic status, ethnicity, race, culture, parent/family status), provide expectations for classroom culture and discourse, and offer assessment practices and any relevant flexibility </w:t>
      </w:r>
    </w:p>
    <w:p w14:paraId="74F5585C" w14:textId="77777777" w:rsidR="00CD00A3" w:rsidRPr="009F0189" w:rsidRDefault="00426722" w:rsidP="00103402">
      <w:pPr>
        <w:pStyle w:val="ListParagraph"/>
        <w:numPr>
          <w:ilvl w:val="0"/>
          <w:numId w:val="13"/>
        </w:numPr>
        <w:contextualSpacing w:val="0"/>
        <w:rPr>
          <w:rFonts w:ascii="Segoe UI" w:hAnsi="Segoe UI" w:cs="Segoe UI"/>
          <w:sz w:val="22"/>
          <w:szCs w:val="22"/>
        </w:rPr>
      </w:pPr>
      <w:r w:rsidRPr="009F0189">
        <w:rPr>
          <w:rFonts w:ascii="Segoe UI" w:hAnsi="Segoe UI" w:cs="Segoe UI"/>
          <w:sz w:val="22"/>
          <w:szCs w:val="22"/>
        </w:rPr>
        <w:t>syllabus change clause, if desired (see sample language in the Resolution)</w:t>
      </w:r>
    </w:p>
    <w:p w14:paraId="5D194529" w14:textId="77777777" w:rsidR="00CD00A3" w:rsidRPr="009F0189" w:rsidRDefault="00CD00A3" w:rsidP="00103402">
      <w:pPr>
        <w:pStyle w:val="ListParagraph"/>
        <w:contextualSpacing w:val="0"/>
        <w:rPr>
          <w:rFonts w:ascii="Segoe UI" w:hAnsi="Segoe UI" w:cs="Segoe UI"/>
          <w:sz w:val="22"/>
          <w:szCs w:val="22"/>
        </w:rPr>
      </w:pPr>
    </w:p>
    <w:p w14:paraId="7477E50A" w14:textId="546FB901" w:rsidR="00975D44" w:rsidRPr="009F0189" w:rsidRDefault="00426722" w:rsidP="00103402">
      <w:pPr>
        <w:pStyle w:val="ListParagraph"/>
        <w:contextualSpacing w:val="0"/>
        <w:rPr>
          <w:rFonts w:ascii="Segoe UI" w:hAnsi="Segoe UI" w:cs="Segoe UI"/>
          <w:sz w:val="22"/>
          <w:szCs w:val="22"/>
        </w:rPr>
      </w:pPr>
      <w:r w:rsidRPr="009F0189">
        <w:rPr>
          <w:rFonts w:ascii="Segoe UI" w:hAnsi="Segoe UI" w:cs="Segoe UI"/>
          <w:sz w:val="22"/>
          <w:szCs w:val="22"/>
        </w:rPr>
        <w:t xml:space="preserve">In addition to these best practices, individual units may have their own policies to follow to address discipline-specific and </w:t>
      </w:r>
      <w:r w:rsidRPr="00843E19">
        <w:rPr>
          <w:rFonts w:ascii="Segoe UI" w:hAnsi="Segoe UI" w:cs="Segoe UI"/>
          <w:b/>
          <w:sz w:val="22"/>
          <w:szCs w:val="22"/>
        </w:rPr>
        <w:t>accreditation-related syllabus expectations</w:t>
      </w:r>
      <w:r w:rsidRPr="009F0189">
        <w:rPr>
          <w:rFonts w:ascii="Segoe UI" w:hAnsi="Segoe UI" w:cs="Segoe UI"/>
          <w:sz w:val="22"/>
          <w:szCs w:val="22"/>
        </w:rPr>
        <w:t xml:space="preserve">. </w:t>
      </w:r>
    </w:p>
    <w:p w14:paraId="2C32E9E1" w14:textId="0EC0C8D2" w:rsidR="00975D44" w:rsidRPr="009F0189" w:rsidRDefault="00975D44" w:rsidP="00103402">
      <w:pPr>
        <w:rPr>
          <w:rFonts w:ascii="Segoe UI" w:hAnsi="Segoe UI" w:cs="Segoe UI"/>
          <w:sz w:val="22"/>
          <w:szCs w:val="22"/>
        </w:rPr>
      </w:pPr>
    </w:p>
    <w:p w14:paraId="7EE8622C" w14:textId="728364B7" w:rsidR="00816DCC" w:rsidRPr="00103402" w:rsidRDefault="00816DCC" w:rsidP="00103402">
      <w:pPr>
        <w:rPr>
          <w:rFonts w:ascii="Segoe UI" w:hAnsi="Segoe UI" w:cs="Segoe UI"/>
          <w:b/>
          <w:sz w:val="28"/>
          <w:szCs w:val="28"/>
        </w:rPr>
      </w:pPr>
      <w:r w:rsidRPr="00103402">
        <w:rPr>
          <w:rFonts w:ascii="Segoe UI" w:hAnsi="Segoe UI" w:cs="Segoe UI"/>
          <w:b/>
          <w:sz w:val="28"/>
          <w:szCs w:val="28"/>
        </w:rPr>
        <w:t>Accreditation-related syllabus expectations</w:t>
      </w:r>
    </w:p>
    <w:p w14:paraId="18F06729" w14:textId="4514D89C" w:rsidR="00C127DA" w:rsidRPr="009F0189" w:rsidRDefault="0029216F" w:rsidP="00103402">
      <w:pPr>
        <w:rPr>
          <w:rFonts w:ascii="Segoe UI" w:hAnsi="Segoe UI" w:cs="Segoe UI"/>
          <w:sz w:val="22"/>
          <w:szCs w:val="22"/>
        </w:rPr>
      </w:pPr>
      <w:r w:rsidRPr="009F0189">
        <w:rPr>
          <w:rFonts w:ascii="Segoe UI" w:hAnsi="Segoe UI" w:cs="Segoe UI"/>
          <w:color w:val="000000"/>
          <w:sz w:val="22"/>
          <w:szCs w:val="22"/>
        </w:rPr>
        <w:t>Higher education a</w:t>
      </w:r>
      <w:r w:rsidR="00C127DA" w:rsidRPr="009F0189">
        <w:rPr>
          <w:rFonts w:ascii="Segoe UI" w:hAnsi="Segoe UI" w:cs="Segoe UI"/>
          <w:color w:val="000000"/>
          <w:sz w:val="22"/>
          <w:szCs w:val="22"/>
        </w:rPr>
        <w:t>ccrediting agencies</w:t>
      </w:r>
      <w:r w:rsidR="003F7E18" w:rsidRPr="009F0189">
        <w:rPr>
          <w:rFonts w:ascii="Segoe UI" w:hAnsi="Segoe UI" w:cs="Segoe UI"/>
          <w:color w:val="000000"/>
          <w:sz w:val="22"/>
          <w:szCs w:val="22"/>
        </w:rPr>
        <w:t xml:space="preserve"> </w:t>
      </w:r>
      <w:r w:rsidR="00B20ACB" w:rsidRPr="009F0189">
        <w:rPr>
          <w:rFonts w:ascii="Segoe UI" w:hAnsi="Segoe UI" w:cs="Segoe UI"/>
          <w:color w:val="000000"/>
          <w:sz w:val="22"/>
          <w:szCs w:val="22"/>
        </w:rPr>
        <w:t xml:space="preserve">such as </w:t>
      </w:r>
      <w:r w:rsidR="00816DCC" w:rsidRPr="009F0189">
        <w:rPr>
          <w:rFonts w:ascii="Segoe UI" w:hAnsi="Segoe UI" w:cs="Segoe UI"/>
          <w:color w:val="000000"/>
          <w:sz w:val="22"/>
          <w:szCs w:val="22"/>
        </w:rPr>
        <w:t>the Southern Association of Colleges and Schools (</w:t>
      </w:r>
      <w:hyperlink r:id="rId16" w:history="1">
        <w:r w:rsidR="00B20ACB" w:rsidRPr="009F0189">
          <w:rPr>
            <w:rStyle w:val="Hyperlink"/>
            <w:rFonts w:ascii="Segoe UI" w:hAnsi="Segoe UI" w:cs="Segoe UI"/>
            <w:sz w:val="22"/>
            <w:szCs w:val="22"/>
          </w:rPr>
          <w:t>SACS</w:t>
        </w:r>
      </w:hyperlink>
      <w:r w:rsidR="00816DCC" w:rsidRPr="009F0189">
        <w:rPr>
          <w:rFonts w:ascii="Segoe UI" w:hAnsi="Segoe UI" w:cs="Segoe UI"/>
          <w:color w:val="000000"/>
          <w:sz w:val="22"/>
          <w:szCs w:val="22"/>
        </w:rPr>
        <w:t>)</w:t>
      </w:r>
      <w:r w:rsidR="00B20ACB" w:rsidRPr="009F0189">
        <w:rPr>
          <w:rFonts w:ascii="Segoe UI" w:hAnsi="Segoe UI" w:cs="Segoe UI"/>
          <w:color w:val="000000"/>
          <w:sz w:val="22"/>
          <w:szCs w:val="22"/>
        </w:rPr>
        <w:t xml:space="preserve"> and</w:t>
      </w:r>
      <w:r w:rsidR="00816DCC" w:rsidRPr="009F0189">
        <w:rPr>
          <w:rFonts w:ascii="Segoe UI" w:hAnsi="Segoe UI" w:cs="Segoe UI"/>
          <w:color w:val="000000"/>
          <w:sz w:val="22"/>
          <w:szCs w:val="22"/>
        </w:rPr>
        <w:t xml:space="preserve"> the Council on Education for Public Health (</w:t>
      </w:r>
      <w:hyperlink r:id="rId17" w:history="1">
        <w:r w:rsidR="00B20ACB" w:rsidRPr="009F0189">
          <w:rPr>
            <w:rStyle w:val="Hyperlink"/>
            <w:rFonts w:ascii="Segoe UI" w:hAnsi="Segoe UI" w:cs="Segoe UI"/>
            <w:sz w:val="22"/>
            <w:szCs w:val="22"/>
          </w:rPr>
          <w:t>CEPH</w:t>
        </w:r>
      </w:hyperlink>
      <w:r w:rsidR="00816DCC" w:rsidRPr="009F0189">
        <w:rPr>
          <w:rFonts w:ascii="Segoe UI" w:hAnsi="Segoe UI" w:cs="Segoe UI"/>
          <w:color w:val="000000"/>
          <w:sz w:val="22"/>
          <w:szCs w:val="22"/>
        </w:rPr>
        <w:t xml:space="preserve">) </w:t>
      </w:r>
      <w:r w:rsidR="003F7E18" w:rsidRPr="009F0189">
        <w:rPr>
          <w:rFonts w:ascii="Segoe UI" w:hAnsi="Segoe UI" w:cs="Segoe UI"/>
          <w:color w:val="000000"/>
          <w:sz w:val="22"/>
          <w:szCs w:val="22"/>
        </w:rPr>
        <w:t>strongly</w:t>
      </w:r>
      <w:r w:rsidR="00C127DA" w:rsidRPr="009F0189">
        <w:rPr>
          <w:rFonts w:ascii="Segoe UI" w:hAnsi="Segoe UI" w:cs="Segoe UI"/>
          <w:color w:val="000000"/>
          <w:sz w:val="22"/>
          <w:szCs w:val="22"/>
        </w:rPr>
        <w:t xml:space="preserve"> </w:t>
      </w:r>
      <w:r w:rsidR="006C47BF" w:rsidRPr="009F0189">
        <w:rPr>
          <w:rFonts w:ascii="Segoe UI" w:hAnsi="Segoe UI" w:cs="Segoe UI"/>
          <w:color w:val="000000"/>
          <w:sz w:val="22"/>
          <w:szCs w:val="22"/>
        </w:rPr>
        <w:t xml:space="preserve">recommend </w:t>
      </w:r>
      <w:r w:rsidRPr="009F0189">
        <w:rPr>
          <w:rFonts w:ascii="Segoe UI" w:hAnsi="Segoe UI" w:cs="Segoe UI"/>
          <w:color w:val="000000"/>
          <w:sz w:val="22"/>
          <w:szCs w:val="22"/>
        </w:rPr>
        <w:t>a common syllabus format for consistent presentation of information to students to maximize cl</w:t>
      </w:r>
      <w:r w:rsidR="00816DCC" w:rsidRPr="009F0189">
        <w:rPr>
          <w:rFonts w:ascii="Segoe UI" w:hAnsi="Segoe UI" w:cs="Segoe UI"/>
          <w:color w:val="000000"/>
          <w:sz w:val="22"/>
          <w:szCs w:val="22"/>
        </w:rPr>
        <w:t>arity of</w:t>
      </w:r>
      <w:r w:rsidRPr="009F0189">
        <w:rPr>
          <w:rFonts w:ascii="Segoe UI" w:hAnsi="Segoe UI" w:cs="Segoe UI"/>
          <w:color w:val="000000"/>
          <w:sz w:val="22"/>
          <w:szCs w:val="22"/>
        </w:rPr>
        <w:t xml:space="preserve"> expectations and minimize ambiguity.</w:t>
      </w:r>
    </w:p>
    <w:p w14:paraId="64F7D611" w14:textId="77777777" w:rsidR="00A84FFB" w:rsidRPr="009F0189" w:rsidRDefault="00A84FFB" w:rsidP="00103402">
      <w:pPr>
        <w:rPr>
          <w:rFonts w:ascii="Segoe UI" w:hAnsi="Segoe UI" w:cs="Segoe UI"/>
          <w:color w:val="000000"/>
          <w:sz w:val="22"/>
          <w:szCs w:val="22"/>
        </w:rPr>
      </w:pPr>
    </w:p>
    <w:p w14:paraId="04C74F17" w14:textId="662E1563" w:rsidR="00BA29D4" w:rsidRDefault="0082564D" w:rsidP="00103402">
      <w:pPr>
        <w:rPr>
          <w:rFonts w:ascii="Segoe UI" w:hAnsi="Segoe UI" w:cs="Segoe UI"/>
          <w:color w:val="000000"/>
          <w:sz w:val="22"/>
          <w:szCs w:val="22"/>
        </w:rPr>
      </w:pPr>
      <w:r w:rsidRPr="009F0189">
        <w:rPr>
          <w:rFonts w:ascii="Segoe UI" w:hAnsi="Segoe UI" w:cs="Segoe UI"/>
          <w:color w:val="000000"/>
          <w:sz w:val="22"/>
          <w:szCs w:val="22"/>
        </w:rPr>
        <w:lastRenderedPageBreak/>
        <w:t>In t</w:t>
      </w:r>
      <w:r w:rsidR="00A06A4A" w:rsidRPr="009F0189">
        <w:rPr>
          <w:rFonts w:ascii="Segoe UI" w:hAnsi="Segoe UI" w:cs="Segoe UI"/>
          <w:color w:val="000000"/>
          <w:sz w:val="22"/>
          <w:szCs w:val="22"/>
        </w:rPr>
        <w:t xml:space="preserve">he </w:t>
      </w:r>
      <w:r w:rsidR="00BA29D4" w:rsidRPr="009F0189">
        <w:rPr>
          <w:rFonts w:ascii="Segoe UI" w:hAnsi="Segoe UI" w:cs="Segoe UI"/>
          <w:color w:val="000000"/>
          <w:sz w:val="22"/>
          <w:szCs w:val="22"/>
        </w:rPr>
        <w:t xml:space="preserve">October 2017 </w:t>
      </w:r>
      <w:r w:rsidRPr="009F0189">
        <w:rPr>
          <w:rFonts w:ascii="Segoe UI" w:hAnsi="Segoe UI" w:cs="Segoe UI"/>
          <w:color w:val="000000"/>
          <w:sz w:val="22"/>
          <w:szCs w:val="22"/>
        </w:rPr>
        <w:t>Accreditation S</w:t>
      </w:r>
      <w:r w:rsidR="006C47BF" w:rsidRPr="009F0189">
        <w:rPr>
          <w:rFonts w:ascii="Segoe UI" w:hAnsi="Segoe UI" w:cs="Segoe UI"/>
          <w:color w:val="000000"/>
          <w:sz w:val="22"/>
          <w:szCs w:val="22"/>
        </w:rPr>
        <w:t xml:space="preserve">ite </w:t>
      </w:r>
      <w:r w:rsidRPr="009F0189">
        <w:rPr>
          <w:rFonts w:ascii="Segoe UI" w:hAnsi="Segoe UI" w:cs="Segoe UI"/>
          <w:color w:val="000000"/>
          <w:sz w:val="22"/>
          <w:szCs w:val="22"/>
        </w:rPr>
        <w:t>V</w:t>
      </w:r>
      <w:r w:rsidR="006C47BF" w:rsidRPr="009F0189">
        <w:rPr>
          <w:rFonts w:ascii="Segoe UI" w:hAnsi="Segoe UI" w:cs="Segoe UI"/>
          <w:color w:val="000000"/>
          <w:sz w:val="22"/>
          <w:szCs w:val="22"/>
        </w:rPr>
        <w:t xml:space="preserve">isit </w:t>
      </w:r>
      <w:r w:rsidRPr="009F0189">
        <w:rPr>
          <w:rFonts w:ascii="Segoe UI" w:hAnsi="Segoe UI" w:cs="Segoe UI"/>
          <w:color w:val="000000"/>
          <w:sz w:val="22"/>
          <w:szCs w:val="22"/>
        </w:rPr>
        <w:t>R</w:t>
      </w:r>
      <w:r w:rsidR="006C47BF" w:rsidRPr="009F0189">
        <w:rPr>
          <w:rFonts w:ascii="Segoe UI" w:hAnsi="Segoe UI" w:cs="Segoe UI"/>
          <w:color w:val="000000"/>
          <w:sz w:val="22"/>
          <w:szCs w:val="22"/>
        </w:rPr>
        <w:t>eport</w:t>
      </w:r>
      <w:r w:rsidRPr="009F0189">
        <w:rPr>
          <w:rFonts w:ascii="Segoe UI" w:hAnsi="Segoe UI" w:cs="Segoe UI"/>
          <w:color w:val="000000"/>
          <w:sz w:val="22"/>
          <w:szCs w:val="22"/>
        </w:rPr>
        <w:t>, CEPH</w:t>
      </w:r>
      <w:r w:rsidR="00BA29D4" w:rsidRPr="009F0189">
        <w:rPr>
          <w:rFonts w:ascii="Segoe UI" w:hAnsi="Segoe UI" w:cs="Segoe UI"/>
          <w:color w:val="000000"/>
          <w:sz w:val="22"/>
          <w:szCs w:val="22"/>
        </w:rPr>
        <w:t xml:space="preserve"> </w:t>
      </w:r>
      <w:r w:rsidR="006C47BF" w:rsidRPr="009F0189">
        <w:rPr>
          <w:rFonts w:ascii="Segoe UI" w:hAnsi="Segoe UI" w:cs="Segoe UI"/>
          <w:color w:val="000000"/>
          <w:sz w:val="22"/>
          <w:szCs w:val="22"/>
        </w:rPr>
        <w:t>cited</w:t>
      </w:r>
      <w:r w:rsidR="00CD00A3" w:rsidRPr="009F0189">
        <w:rPr>
          <w:rFonts w:ascii="Segoe UI" w:hAnsi="Segoe UI" w:cs="Segoe UI"/>
          <w:color w:val="000000"/>
          <w:sz w:val="22"/>
          <w:szCs w:val="22"/>
        </w:rPr>
        <w:t xml:space="preserve"> the </w:t>
      </w:r>
      <w:r w:rsidR="006C47BF" w:rsidRPr="009F0189">
        <w:rPr>
          <w:rFonts w:ascii="Segoe UI" w:hAnsi="Segoe UI" w:cs="Segoe UI"/>
          <w:color w:val="000000"/>
          <w:sz w:val="22"/>
          <w:szCs w:val="22"/>
        </w:rPr>
        <w:t xml:space="preserve">Gillings </w:t>
      </w:r>
      <w:r w:rsidR="00CD00A3" w:rsidRPr="009F0189">
        <w:rPr>
          <w:rFonts w:ascii="Segoe UI" w:hAnsi="Segoe UI" w:cs="Segoe UI"/>
          <w:color w:val="000000"/>
          <w:sz w:val="22"/>
          <w:szCs w:val="22"/>
        </w:rPr>
        <w:t xml:space="preserve">School </w:t>
      </w:r>
      <w:r w:rsidR="006C47BF" w:rsidRPr="009F0189">
        <w:rPr>
          <w:rFonts w:ascii="Segoe UI" w:hAnsi="Segoe UI" w:cs="Segoe UI"/>
          <w:color w:val="000000"/>
          <w:sz w:val="22"/>
          <w:szCs w:val="22"/>
        </w:rPr>
        <w:t>for h</w:t>
      </w:r>
      <w:r w:rsidR="00CB36A7" w:rsidRPr="009F0189">
        <w:rPr>
          <w:rFonts w:ascii="Segoe UI" w:hAnsi="Segoe UI" w:cs="Segoe UI"/>
          <w:color w:val="000000"/>
          <w:sz w:val="22"/>
          <w:szCs w:val="22"/>
        </w:rPr>
        <w:t>aving numerous syllabus formats</w:t>
      </w:r>
      <w:r w:rsidR="00090BCD" w:rsidRPr="009F0189">
        <w:rPr>
          <w:rFonts w:ascii="Segoe UI" w:hAnsi="Segoe UI" w:cs="Segoe UI"/>
          <w:color w:val="000000"/>
          <w:sz w:val="22"/>
          <w:szCs w:val="22"/>
        </w:rPr>
        <w:t xml:space="preserve"> and for not consistently publishing competencies</w:t>
      </w:r>
      <w:r w:rsidR="00BA29D4" w:rsidRPr="009F0189">
        <w:rPr>
          <w:rFonts w:ascii="Segoe UI" w:hAnsi="Segoe UI" w:cs="Segoe UI"/>
          <w:color w:val="000000"/>
          <w:sz w:val="22"/>
          <w:szCs w:val="22"/>
        </w:rPr>
        <w:t>.</w:t>
      </w:r>
    </w:p>
    <w:p w14:paraId="10F75394" w14:textId="77777777" w:rsidR="009F0189" w:rsidRPr="009F0189" w:rsidRDefault="009F0189" w:rsidP="00103402">
      <w:pPr>
        <w:rPr>
          <w:rFonts w:ascii="Segoe UI" w:hAnsi="Segoe UI" w:cs="Segoe UI"/>
          <w:color w:val="000000"/>
          <w:sz w:val="22"/>
          <w:szCs w:val="22"/>
        </w:rPr>
      </w:pPr>
    </w:p>
    <w:p w14:paraId="476FF10D" w14:textId="14A70F49" w:rsidR="00BA29D4" w:rsidRPr="009F0189" w:rsidRDefault="00BA29D4" w:rsidP="00103402">
      <w:pPr>
        <w:ind w:left="720" w:right="1440"/>
        <w:jc w:val="both"/>
        <w:rPr>
          <w:rFonts w:ascii="Segoe UI" w:hAnsi="Segoe UI" w:cs="Segoe UI"/>
          <w:sz w:val="22"/>
          <w:szCs w:val="22"/>
        </w:rPr>
      </w:pPr>
      <w:r w:rsidRPr="009F0189">
        <w:rPr>
          <w:rFonts w:ascii="Segoe UI" w:hAnsi="Segoe UI" w:cs="Segoe UI"/>
          <w:color w:val="000000"/>
          <w:sz w:val="22"/>
          <w:szCs w:val="22"/>
        </w:rPr>
        <w:t xml:space="preserve">“Site visitors’ review indicated that not all course syllabi have listed competencies that students are expected to demonstrate with completion for both core and degree-specific courses. </w:t>
      </w:r>
      <w:r w:rsidR="00A53C5F" w:rsidRPr="009F0189">
        <w:rPr>
          <w:rFonts w:ascii="Segoe UI" w:hAnsi="Segoe UI" w:cs="Segoe UI"/>
          <w:color w:val="000000"/>
          <w:sz w:val="22"/>
          <w:szCs w:val="22"/>
        </w:rPr>
        <w:t>[S</w:t>
      </w:r>
      <w:r w:rsidRPr="009F0189">
        <w:rPr>
          <w:rFonts w:ascii="Segoe UI" w:hAnsi="Segoe UI" w:cs="Segoe UI"/>
          <w:color w:val="000000"/>
          <w:sz w:val="22"/>
          <w:szCs w:val="22"/>
        </w:rPr>
        <w:t>]</w:t>
      </w:r>
      <w:proofErr w:type="spellStart"/>
      <w:r w:rsidRPr="009F0189">
        <w:rPr>
          <w:rFonts w:ascii="Segoe UI" w:hAnsi="Segoe UI" w:cs="Segoe UI"/>
          <w:color w:val="000000"/>
          <w:sz w:val="22"/>
          <w:szCs w:val="22"/>
        </w:rPr>
        <w:t>yllabi</w:t>
      </w:r>
      <w:proofErr w:type="spellEnd"/>
      <w:r w:rsidRPr="009F0189">
        <w:rPr>
          <w:rFonts w:ascii="Segoe UI" w:hAnsi="Segoe UI" w:cs="Segoe UI"/>
          <w:color w:val="000000"/>
          <w:sz w:val="22"/>
          <w:szCs w:val="22"/>
        </w:rPr>
        <w:t xml:space="preserve"> without listed competencies were present throughout a variety of degree programs.</w:t>
      </w:r>
      <w:r w:rsidR="00090BCD" w:rsidRPr="009F0189">
        <w:rPr>
          <w:rFonts w:ascii="Segoe UI" w:hAnsi="Segoe UI" w:cs="Segoe UI"/>
          <w:sz w:val="22"/>
          <w:szCs w:val="22"/>
        </w:rPr>
        <w:t xml:space="preserve">”  </w:t>
      </w:r>
    </w:p>
    <w:p w14:paraId="6AA1DF59" w14:textId="77777777" w:rsidR="0082564D" w:rsidRPr="009F0189" w:rsidRDefault="0082564D" w:rsidP="00103402">
      <w:pPr>
        <w:rPr>
          <w:rFonts w:ascii="Segoe UI" w:hAnsi="Segoe UI" w:cs="Segoe UI"/>
          <w:sz w:val="22"/>
          <w:szCs w:val="22"/>
        </w:rPr>
      </w:pPr>
    </w:p>
    <w:p w14:paraId="5AE96A33" w14:textId="5D983737" w:rsidR="0082564D" w:rsidRDefault="0082564D" w:rsidP="00103402">
      <w:pPr>
        <w:rPr>
          <w:rFonts w:ascii="Segoe UI" w:hAnsi="Segoe UI" w:cs="Segoe UI"/>
          <w:sz w:val="22"/>
          <w:szCs w:val="22"/>
        </w:rPr>
      </w:pPr>
      <w:r w:rsidRPr="009F0189">
        <w:rPr>
          <w:rFonts w:ascii="Segoe UI" w:hAnsi="Segoe UI" w:cs="Segoe UI"/>
          <w:sz w:val="22"/>
          <w:szCs w:val="22"/>
        </w:rPr>
        <w:t>The lack of consistency contributes to ambiguous teaching methods and assessment practices, and contributes to student confusion regarding expectations.</w:t>
      </w:r>
    </w:p>
    <w:p w14:paraId="338B13A5" w14:textId="77777777" w:rsidR="00103402" w:rsidRPr="009F0189" w:rsidRDefault="00103402" w:rsidP="00103402">
      <w:pPr>
        <w:rPr>
          <w:rFonts w:ascii="Segoe UI" w:hAnsi="Segoe UI" w:cs="Segoe UI"/>
          <w:sz w:val="22"/>
          <w:szCs w:val="22"/>
        </w:rPr>
      </w:pPr>
    </w:p>
    <w:p w14:paraId="6DF40A51" w14:textId="47F3919A" w:rsidR="00BA29D4" w:rsidRPr="009F0189" w:rsidRDefault="009F0189" w:rsidP="00103402">
      <w:pPr>
        <w:rPr>
          <w:rFonts w:ascii="Segoe UI" w:hAnsi="Segoe UI" w:cs="Segoe UI"/>
          <w:sz w:val="22"/>
          <w:szCs w:val="22"/>
        </w:rPr>
      </w:pPr>
      <w:r>
        <w:rPr>
          <w:rFonts w:ascii="Segoe UI" w:hAnsi="Segoe UI" w:cs="Segoe UI"/>
          <w:sz w:val="22"/>
          <w:szCs w:val="22"/>
        </w:rPr>
        <w:t>CEPH required t</w:t>
      </w:r>
      <w:r w:rsidR="00BA29D4" w:rsidRPr="009F0189">
        <w:rPr>
          <w:rFonts w:ascii="Segoe UI" w:hAnsi="Segoe UI" w:cs="Segoe UI"/>
          <w:sz w:val="22"/>
          <w:szCs w:val="22"/>
        </w:rPr>
        <w:t>he Gillings School to submit an interim report in January 2019 documenting “evidence that the school has implemented practices to ensure consistent communication and presentation of competencies to students (e.g., presenting competencies on all syllabi).”</w:t>
      </w:r>
      <w:r w:rsidR="0082564D" w:rsidRPr="009F0189">
        <w:rPr>
          <w:rFonts w:ascii="Segoe UI" w:hAnsi="Segoe UI" w:cs="Segoe UI"/>
          <w:sz w:val="22"/>
          <w:szCs w:val="22"/>
        </w:rPr>
        <w:t xml:space="preserve">  </w:t>
      </w:r>
    </w:p>
    <w:p w14:paraId="51A07C12" w14:textId="2F52189B" w:rsidR="00115A37" w:rsidRPr="009F0189" w:rsidRDefault="00115A37" w:rsidP="00103402">
      <w:pPr>
        <w:rPr>
          <w:rFonts w:ascii="Segoe UI" w:hAnsi="Segoe UI" w:cs="Segoe UI"/>
          <w:sz w:val="22"/>
          <w:szCs w:val="22"/>
        </w:rPr>
      </w:pPr>
    </w:p>
    <w:p w14:paraId="3B22B548" w14:textId="3855C686" w:rsidR="005079FE" w:rsidRPr="00103402" w:rsidRDefault="005079FE" w:rsidP="00103402">
      <w:pPr>
        <w:rPr>
          <w:rFonts w:ascii="Segoe UI" w:hAnsi="Segoe UI" w:cs="Segoe UI"/>
          <w:b/>
          <w:sz w:val="28"/>
          <w:szCs w:val="28"/>
        </w:rPr>
      </w:pPr>
      <w:r w:rsidRPr="00103402">
        <w:rPr>
          <w:rFonts w:ascii="Segoe UI" w:hAnsi="Segoe UI" w:cs="Segoe UI"/>
          <w:b/>
          <w:color w:val="000000"/>
          <w:sz w:val="28"/>
          <w:szCs w:val="28"/>
        </w:rPr>
        <w:t xml:space="preserve">Connecting the </w:t>
      </w:r>
      <w:r w:rsidR="00B63E2E" w:rsidRPr="00103402">
        <w:rPr>
          <w:rFonts w:ascii="Segoe UI" w:hAnsi="Segoe UI" w:cs="Segoe UI"/>
          <w:b/>
          <w:color w:val="000000"/>
          <w:sz w:val="28"/>
          <w:szCs w:val="28"/>
        </w:rPr>
        <w:t>d</w:t>
      </w:r>
      <w:r w:rsidRPr="00103402">
        <w:rPr>
          <w:rFonts w:ascii="Segoe UI" w:hAnsi="Segoe UI" w:cs="Segoe UI"/>
          <w:b/>
          <w:color w:val="000000"/>
          <w:sz w:val="28"/>
          <w:szCs w:val="28"/>
        </w:rPr>
        <w:t xml:space="preserve">ots in the </w:t>
      </w:r>
      <w:r w:rsidR="00B63E2E" w:rsidRPr="00103402">
        <w:rPr>
          <w:rFonts w:ascii="Segoe UI" w:hAnsi="Segoe UI" w:cs="Segoe UI"/>
          <w:b/>
          <w:color w:val="000000"/>
          <w:sz w:val="28"/>
          <w:szCs w:val="28"/>
        </w:rPr>
        <w:t>curriculum a</w:t>
      </w:r>
      <w:r w:rsidRPr="00103402">
        <w:rPr>
          <w:rFonts w:ascii="Segoe UI" w:hAnsi="Segoe UI" w:cs="Segoe UI"/>
          <w:b/>
          <w:color w:val="000000"/>
          <w:sz w:val="28"/>
          <w:szCs w:val="28"/>
        </w:rPr>
        <w:t>pproval</w:t>
      </w:r>
      <w:r w:rsidR="00B63E2E" w:rsidRPr="00103402">
        <w:rPr>
          <w:rFonts w:ascii="Segoe UI" w:hAnsi="Segoe UI" w:cs="Segoe UI"/>
          <w:b/>
          <w:color w:val="000000"/>
          <w:sz w:val="28"/>
          <w:szCs w:val="28"/>
        </w:rPr>
        <w:t xml:space="preserve"> process</w:t>
      </w:r>
    </w:p>
    <w:p w14:paraId="7B86B930" w14:textId="00E1EB54" w:rsidR="005079FE" w:rsidRPr="00843E19" w:rsidRDefault="005079FE" w:rsidP="00103402">
      <w:pPr>
        <w:pStyle w:val="ListParagraph"/>
        <w:numPr>
          <w:ilvl w:val="0"/>
          <w:numId w:val="17"/>
        </w:numPr>
        <w:contextualSpacing w:val="0"/>
        <w:rPr>
          <w:rFonts w:ascii="Segoe UI" w:hAnsi="Segoe UI" w:cs="Segoe UI"/>
          <w:sz w:val="22"/>
          <w:szCs w:val="22"/>
        </w:rPr>
      </w:pPr>
      <w:r w:rsidRPr="00843E19">
        <w:rPr>
          <w:rFonts w:ascii="Segoe UI" w:hAnsi="Segoe UI" w:cs="Segoe UI"/>
          <w:sz w:val="22"/>
          <w:szCs w:val="22"/>
        </w:rPr>
        <w:t xml:space="preserve">Syllabus template: </w:t>
      </w:r>
      <w:r w:rsidR="00B63E2E" w:rsidRPr="00843E19">
        <w:rPr>
          <w:rFonts w:ascii="Segoe UI" w:hAnsi="Segoe UI" w:cs="Segoe UI"/>
          <w:sz w:val="22"/>
          <w:szCs w:val="22"/>
        </w:rPr>
        <w:t xml:space="preserve"> </w:t>
      </w:r>
      <w:r w:rsidRPr="00843E19">
        <w:rPr>
          <w:rFonts w:ascii="Segoe UI" w:hAnsi="Segoe UI" w:cs="Segoe UI"/>
          <w:sz w:val="22"/>
          <w:szCs w:val="22"/>
        </w:rPr>
        <w:t xml:space="preserve">provides pertinent information for reviewers to validate course content, required readings, assignments, </w:t>
      </w:r>
      <w:r w:rsidR="00B63E2E" w:rsidRPr="00843E19">
        <w:rPr>
          <w:rFonts w:ascii="Segoe UI" w:hAnsi="Segoe UI" w:cs="Segoe UI"/>
          <w:sz w:val="22"/>
          <w:szCs w:val="22"/>
        </w:rPr>
        <w:t xml:space="preserve">expectations, </w:t>
      </w:r>
      <w:r w:rsidRPr="00843E19">
        <w:rPr>
          <w:rFonts w:ascii="Segoe UI" w:hAnsi="Segoe UI" w:cs="Segoe UI"/>
          <w:sz w:val="22"/>
          <w:szCs w:val="22"/>
        </w:rPr>
        <w:t xml:space="preserve">and faculty contact hours are appropriate for the program of study and degree level, and </w:t>
      </w:r>
      <w:r w:rsidR="00103402" w:rsidRPr="00843E19">
        <w:rPr>
          <w:rFonts w:ascii="Segoe UI" w:hAnsi="Segoe UI" w:cs="Segoe UI"/>
          <w:sz w:val="22"/>
          <w:szCs w:val="22"/>
        </w:rPr>
        <w:t xml:space="preserve">to </w:t>
      </w:r>
      <w:r w:rsidRPr="00843E19">
        <w:rPr>
          <w:rFonts w:ascii="Segoe UI" w:hAnsi="Segoe UI" w:cs="Segoe UI"/>
          <w:sz w:val="22"/>
          <w:szCs w:val="22"/>
        </w:rPr>
        <w:t xml:space="preserve">substantiate the </w:t>
      </w:r>
      <w:hyperlink r:id="rId18" w:history="1">
        <w:r w:rsidRPr="00843E19">
          <w:rPr>
            <w:rStyle w:val="Hyperlink"/>
            <w:rFonts w:ascii="Segoe UI" w:hAnsi="Segoe UI" w:cs="Segoe UI"/>
            <w:sz w:val="22"/>
            <w:szCs w:val="22"/>
          </w:rPr>
          <w:t>federal definition of a credit hour</w:t>
        </w:r>
      </w:hyperlink>
      <w:r w:rsidRPr="00843E19">
        <w:rPr>
          <w:rFonts w:ascii="Segoe UI" w:hAnsi="Segoe UI" w:cs="Segoe UI"/>
          <w:sz w:val="22"/>
          <w:szCs w:val="22"/>
        </w:rPr>
        <w:t>.</w:t>
      </w:r>
    </w:p>
    <w:p w14:paraId="37275E11" w14:textId="77777777" w:rsidR="00B63E2E" w:rsidRPr="00843E19" w:rsidRDefault="00B63E2E" w:rsidP="00103402">
      <w:pPr>
        <w:rPr>
          <w:rFonts w:ascii="Segoe UI" w:hAnsi="Segoe UI" w:cs="Segoe UI"/>
          <w:sz w:val="22"/>
          <w:szCs w:val="22"/>
        </w:rPr>
      </w:pPr>
    </w:p>
    <w:p w14:paraId="6D1B09CC" w14:textId="523D70C1" w:rsidR="005079FE" w:rsidRPr="00843E19" w:rsidRDefault="00E54C47" w:rsidP="00103402">
      <w:pPr>
        <w:pStyle w:val="ListParagraph"/>
        <w:numPr>
          <w:ilvl w:val="0"/>
          <w:numId w:val="17"/>
        </w:numPr>
        <w:contextualSpacing w:val="0"/>
        <w:rPr>
          <w:rFonts w:ascii="Segoe UI" w:hAnsi="Segoe UI" w:cs="Segoe UI"/>
          <w:sz w:val="22"/>
          <w:szCs w:val="22"/>
        </w:rPr>
      </w:pPr>
      <w:hyperlink r:id="rId19" w:history="1">
        <w:r w:rsidR="005079FE" w:rsidRPr="00843E19">
          <w:rPr>
            <w:rStyle w:val="Hyperlink"/>
            <w:rFonts w:ascii="Segoe UI" w:hAnsi="Segoe UI" w:cs="Segoe UI"/>
            <w:sz w:val="22"/>
            <w:szCs w:val="22"/>
          </w:rPr>
          <w:t>CIM</w:t>
        </w:r>
      </w:hyperlink>
      <w:r w:rsidR="005079FE" w:rsidRPr="00843E19">
        <w:rPr>
          <w:rFonts w:ascii="Segoe UI" w:hAnsi="Segoe UI" w:cs="Segoe UI"/>
          <w:sz w:val="22"/>
          <w:szCs w:val="22"/>
        </w:rPr>
        <w:t xml:space="preserve"> input:  </w:t>
      </w:r>
      <w:proofErr w:type="spellStart"/>
      <w:r w:rsidR="005079FE" w:rsidRPr="00843E19">
        <w:rPr>
          <w:rStyle w:val="Strong"/>
          <w:rFonts w:ascii="Segoe UI" w:hAnsi="Segoe UI" w:cs="Segoe UI"/>
          <w:b w:val="0"/>
          <w:color w:val="151515"/>
          <w:sz w:val="22"/>
          <w:szCs w:val="22"/>
          <w:shd w:val="clear" w:color="auto" w:fill="FFFFFF"/>
        </w:rPr>
        <w:t>CourseLeaf</w:t>
      </w:r>
      <w:proofErr w:type="spellEnd"/>
      <w:r w:rsidR="005079FE" w:rsidRPr="00843E19">
        <w:rPr>
          <w:rStyle w:val="Strong"/>
          <w:rFonts w:ascii="Segoe UI" w:hAnsi="Segoe UI" w:cs="Segoe UI"/>
          <w:b w:val="0"/>
          <w:color w:val="151515"/>
          <w:sz w:val="22"/>
          <w:szCs w:val="22"/>
          <w:shd w:val="clear" w:color="auto" w:fill="FFFFFF"/>
        </w:rPr>
        <w:t xml:space="preserve"> Curriculum Information Management (CIM)</w:t>
      </w:r>
      <w:r w:rsidR="00B63E2E" w:rsidRPr="00843E19">
        <w:rPr>
          <w:rFonts w:ascii="Segoe UI" w:hAnsi="Segoe UI" w:cs="Segoe UI"/>
          <w:color w:val="151515"/>
          <w:sz w:val="22"/>
          <w:szCs w:val="22"/>
          <w:shd w:val="clear" w:color="auto" w:fill="FFFFFF"/>
        </w:rPr>
        <w:t xml:space="preserve"> </w:t>
      </w:r>
      <w:r w:rsidR="005079FE" w:rsidRPr="00843E19">
        <w:rPr>
          <w:rFonts w:ascii="Segoe UI" w:hAnsi="Segoe UI" w:cs="Segoe UI"/>
          <w:color w:val="151515"/>
          <w:sz w:val="22"/>
          <w:szCs w:val="22"/>
          <w:shd w:val="clear" w:color="auto" w:fill="FFFFFF"/>
        </w:rPr>
        <w:t xml:space="preserve">takes the entire curriculum process online, integrates, and builds on the </w:t>
      </w:r>
      <w:proofErr w:type="spellStart"/>
      <w:r w:rsidR="005079FE" w:rsidRPr="00843E19">
        <w:rPr>
          <w:rFonts w:ascii="Segoe UI" w:hAnsi="Segoe UI" w:cs="Segoe UI"/>
          <w:color w:val="151515"/>
          <w:sz w:val="22"/>
          <w:szCs w:val="22"/>
          <w:shd w:val="clear" w:color="auto" w:fill="FFFFFF"/>
        </w:rPr>
        <w:t>CourseLeaf</w:t>
      </w:r>
      <w:proofErr w:type="spellEnd"/>
      <w:r w:rsidR="005079FE" w:rsidRPr="00843E19">
        <w:rPr>
          <w:rFonts w:ascii="Segoe UI" w:hAnsi="Segoe UI" w:cs="Segoe UI"/>
          <w:color w:val="151515"/>
          <w:sz w:val="22"/>
          <w:szCs w:val="22"/>
          <w:shd w:val="clear" w:color="auto" w:fill="FFFFFF"/>
        </w:rPr>
        <w:t xml:space="preserve"> Catalog software (CAT) to provide a comprehensive Curriculum and Catalog product. </w:t>
      </w:r>
      <w:r w:rsidR="00B63E2E" w:rsidRPr="00843E19">
        <w:rPr>
          <w:rFonts w:ascii="Segoe UI" w:hAnsi="Segoe UI" w:cs="Segoe UI"/>
          <w:color w:val="151515"/>
          <w:sz w:val="22"/>
          <w:szCs w:val="22"/>
          <w:shd w:val="clear" w:color="auto" w:fill="FFFFFF"/>
        </w:rPr>
        <w:t xml:space="preserve"> </w:t>
      </w:r>
      <w:r w:rsidR="005079FE" w:rsidRPr="00843E19">
        <w:rPr>
          <w:rFonts w:ascii="Segoe UI" w:hAnsi="Segoe UI" w:cs="Segoe UI"/>
          <w:color w:val="151515"/>
          <w:sz w:val="22"/>
          <w:szCs w:val="22"/>
          <w:shd w:val="clear" w:color="auto" w:fill="FFFF00"/>
        </w:rPr>
        <w:t>CIM Course Approval is tightly integrated with the</w:t>
      </w:r>
      <w:r w:rsidR="00B63E2E" w:rsidRPr="00843E19">
        <w:rPr>
          <w:rFonts w:ascii="Segoe UI" w:hAnsi="Segoe UI" w:cs="Segoe UI"/>
          <w:color w:val="151515"/>
          <w:sz w:val="22"/>
          <w:szCs w:val="22"/>
          <w:shd w:val="clear" w:color="auto" w:fill="FFFF00"/>
        </w:rPr>
        <w:t xml:space="preserve"> </w:t>
      </w:r>
      <w:hyperlink r:id="rId20" w:history="1">
        <w:r w:rsidR="005079FE" w:rsidRPr="00843E19">
          <w:rPr>
            <w:rStyle w:val="Hyperlink"/>
            <w:rFonts w:ascii="Segoe UI" w:hAnsi="Segoe UI" w:cs="Segoe UI"/>
            <w:b/>
            <w:color w:val="007FAE"/>
            <w:sz w:val="22"/>
            <w:szCs w:val="22"/>
            <w:shd w:val="clear" w:color="auto" w:fill="FFFF00"/>
          </w:rPr>
          <w:t>University Catalog</w:t>
        </w:r>
      </w:hyperlink>
      <w:r w:rsidR="00B63E2E" w:rsidRPr="00843E19">
        <w:rPr>
          <w:rFonts w:ascii="Segoe UI" w:hAnsi="Segoe UI" w:cs="Segoe UI"/>
          <w:color w:val="151515"/>
          <w:sz w:val="22"/>
          <w:szCs w:val="22"/>
          <w:shd w:val="clear" w:color="auto" w:fill="FFFF00"/>
        </w:rPr>
        <w:t xml:space="preserve"> </w:t>
      </w:r>
      <w:r w:rsidR="005079FE" w:rsidRPr="00843E19">
        <w:rPr>
          <w:rFonts w:ascii="Segoe UI" w:hAnsi="Segoe UI" w:cs="Segoe UI"/>
          <w:color w:val="151515"/>
          <w:sz w:val="22"/>
          <w:szCs w:val="22"/>
          <w:shd w:val="clear" w:color="auto" w:fill="FFFF00"/>
        </w:rPr>
        <w:t>and</w:t>
      </w:r>
      <w:r w:rsidR="00B63E2E" w:rsidRPr="00843E19">
        <w:rPr>
          <w:rFonts w:ascii="Segoe UI" w:hAnsi="Segoe UI" w:cs="Segoe UI"/>
          <w:color w:val="151515"/>
          <w:sz w:val="22"/>
          <w:szCs w:val="22"/>
          <w:shd w:val="clear" w:color="auto" w:fill="FFFF00"/>
        </w:rPr>
        <w:t xml:space="preserve"> </w:t>
      </w:r>
      <w:hyperlink r:id="rId21" w:history="1">
        <w:proofErr w:type="spellStart"/>
        <w:r w:rsidR="005079FE" w:rsidRPr="00843E19">
          <w:rPr>
            <w:rStyle w:val="Hyperlink"/>
            <w:rFonts w:ascii="Segoe UI" w:hAnsi="Segoe UI" w:cs="Segoe UI"/>
            <w:b/>
            <w:color w:val="007FAE"/>
            <w:sz w:val="22"/>
            <w:szCs w:val="22"/>
            <w:shd w:val="clear" w:color="auto" w:fill="FFFF00"/>
          </w:rPr>
          <w:t>ConnectCarolina</w:t>
        </w:r>
        <w:proofErr w:type="spellEnd"/>
      </w:hyperlink>
      <w:r w:rsidR="005079FE" w:rsidRPr="00843E19">
        <w:rPr>
          <w:rFonts w:ascii="Segoe UI" w:hAnsi="Segoe UI" w:cs="Segoe UI"/>
          <w:color w:val="151515"/>
          <w:sz w:val="22"/>
          <w:szCs w:val="22"/>
          <w:shd w:val="clear" w:color="auto" w:fill="FFFF00"/>
        </w:rPr>
        <w:t>.</w:t>
      </w:r>
    </w:p>
    <w:sectPr w:rsidR="005079FE" w:rsidRPr="00843E19" w:rsidSect="00EA5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F15F" w14:textId="77777777" w:rsidR="00E54C47" w:rsidRDefault="00E54C47" w:rsidP="00857218">
      <w:r>
        <w:separator/>
      </w:r>
    </w:p>
  </w:endnote>
  <w:endnote w:type="continuationSeparator" w:id="0">
    <w:p w14:paraId="7301AB97" w14:textId="77777777" w:rsidR="00E54C47" w:rsidRDefault="00E54C47" w:rsidP="0085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B6D7" w14:textId="77777777" w:rsidR="00A96320" w:rsidRDefault="00A96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9660" w14:textId="63F485B5" w:rsidR="00857218" w:rsidRPr="00857218" w:rsidRDefault="00857218">
    <w:pPr>
      <w:pStyle w:val="Footer"/>
      <w:rPr>
        <w:rFonts w:ascii="Segoe UI" w:hAnsi="Segoe UI" w:cs="Segoe UI"/>
        <w:sz w:val="20"/>
        <w:szCs w:val="20"/>
      </w:rPr>
    </w:pPr>
    <w:r w:rsidRPr="00857218">
      <w:rPr>
        <w:rFonts w:ascii="Segoe UI" w:hAnsi="Segoe UI" w:cs="Segoe UI"/>
        <w:sz w:val="20"/>
        <w:szCs w:val="20"/>
      </w:rPr>
      <w:t xml:space="preserve">Updated </w:t>
    </w:r>
    <w:r w:rsidR="006D14E8">
      <w:rPr>
        <w:rFonts w:ascii="Segoe UI" w:hAnsi="Segoe UI" w:cs="Segoe UI"/>
        <w:sz w:val="20"/>
        <w:szCs w:val="20"/>
      </w:rPr>
      <w:t>2019-</w:t>
    </w:r>
    <w:r w:rsidR="00843E19">
      <w:rPr>
        <w:rFonts w:ascii="Segoe UI" w:hAnsi="Segoe UI" w:cs="Segoe UI"/>
        <w:sz w:val="20"/>
        <w:szCs w:val="20"/>
      </w:rPr>
      <w:t>08-09</w:t>
    </w:r>
    <w:r w:rsidR="00B63E2E">
      <w:rPr>
        <w:rFonts w:ascii="Segoe UI" w:hAnsi="Segoe UI" w:cs="Segoe UI"/>
        <w:sz w:val="20"/>
        <w:szCs w:val="20"/>
      </w:rPr>
      <w:tab/>
    </w:r>
    <w:r w:rsidRPr="00857218">
      <w:rPr>
        <w:rFonts w:ascii="Segoe UI" w:hAnsi="Segoe UI" w:cs="Segoe UI"/>
        <w:sz w:val="20"/>
        <w:szCs w:val="20"/>
      </w:rPr>
      <w:tab/>
    </w:r>
    <w:r w:rsidR="00A96320" w:rsidRPr="00A96320">
      <w:rPr>
        <w:rFonts w:ascii="Segoe UI" w:hAnsi="Segoe UI" w:cs="Segoe UI"/>
        <w:color w:val="000000" w:themeColor="text1"/>
        <w:sz w:val="20"/>
        <w:szCs w:val="20"/>
      </w:rPr>
      <w:t xml:space="preserve">Page </w:t>
    </w:r>
    <w:r w:rsidR="00A96320" w:rsidRPr="00A96320">
      <w:rPr>
        <w:rFonts w:ascii="Segoe UI" w:hAnsi="Segoe UI" w:cs="Segoe UI"/>
        <w:color w:val="000000" w:themeColor="text1"/>
        <w:sz w:val="20"/>
        <w:szCs w:val="20"/>
      </w:rPr>
      <w:fldChar w:fldCharType="begin"/>
    </w:r>
    <w:r w:rsidR="00A96320" w:rsidRPr="00A96320">
      <w:rPr>
        <w:rFonts w:ascii="Segoe UI" w:hAnsi="Segoe UI" w:cs="Segoe UI"/>
        <w:color w:val="000000" w:themeColor="text1"/>
        <w:sz w:val="20"/>
        <w:szCs w:val="20"/>
      </w:rPr>
      <w:instrText xml:space="preserve"> PAGE  \* Arabic  \* MERGEFORMAT </w:instrText>
    </w:r>
    <w:r w:rsidR="00A96320" w:rsidRPr="00A96320">
      <w:rPr>
        <w:rFonts w:ascii="Segoe UI" w:hAnsi="Segoe UI" w:cs="Segoe UI"/>
        <w:color w:val="000000" w:themeColor="text1"/>
        <w:sz w:val="20"/>
        <w:szCs w:val="20"/>
      </w:rPr>
      <w:fldChar w:fldCharType="separate"/>
    </w:r>
    <w:r w:rsidR="00CD3636">
      <w:rPr>
        <w:rFonts w:ascii="Segoe UI" w:hAnsi="Segoe UI" w:cs="Segoe UI"/>
        <w:noProof/>
        <w:color w:val="000000" w:themeColor="text1"/>
        <w:sz w:val="20"/>
        <w:szCs w:val="20"/>
      </w:rPr>
      <w:t>4</w:t>
    </w:r>
    <w:r w:rsidR="00A96320" w:rsidRPr="00A96320">
      <w:rPr>
        <w:rFonts w:ascii="Segoe UI" w:hAnsi="Segoe UI" w:cs="Segoe UI"/>
        <w:color w:val="000000" w:themeColor="text1"/>
        <w:sz w:val="20"/>
        <w:szCs w:val="20"/>
      </w:rPr>
      <w:fldChar w:fldCharType="end"/>
    </w:r>
    <w:r w:rsidR="00A96320" w:rsidRPr="00A96320">
      <w:rPr>
        <w:rFonts w:ascii="Segoe UI" w:hAnsi="Segoe UI" w:cs="Segoe UI"/>
        <w:color w:val="000000" w:themeColor="text1"/>
        <w:sz w:val="20"/>
        <w:szCs w:val="20"/>
      </w:rPr>
      <w:t xml:space="preserve"> of </w:t>
    </w:r>
    <w:r w:rsidR="00A96320" w:rsidRPr="00A96320">
      <w:rPr>
        <w:rFonts w:ascii="Segoe UI" w:hAnsi="Segoe UI" w:cs="Segoe UI"/>
        <w:color w:val="000000" w:themeColor="text1"/>
        <w:sz w:val="20"/>
        <w:szCs w:val="20"/>
      </w:rPr>
      <w:fldChar w:fldCharType="begin"/>
    </w:r>
    <w:r w:rsidR="00A96320" w:rsidRPr="00A96320">
      <w:rPr>
        <w:rFonts w:ascii="Segoe UI" w:hAnsi="Segoe UI" w:cs="Segoe UI"/>
        <w:color w:val="000000" w:themeColor="text1"/>
        <w:sz w:val="20"/>
        <w:szCs w:val="20"/>
      </w:rPr>
      <w:instrText xml:space="preserve"> NUMPAGES  \* Arabic  \* MERGEFORMAT </w:instrText>
    </w:r>
    <w:r w:rsidR="00A96320" w:rsidRPr="00A96320">
      <w:rPr>
        <w:rFonts w:ascii="Segoe UI" w:hAnsi="Segoe UI" w:cs="Segoe UI"/>
        <w:color w:val="000000" w:themeColor="text1"/>
        <w:sz w:val="20"/>
        <w:szCs w:val="20"/>
      </w:rPr>
      <w:fldChar w:fldCharType="separate"/>
    </w:r>
    <w:r w:rsidR="00CD3636">
      <w:rPr>
        <w:rFonts w:ascii="Segoe UI" w:hAnsi="Segoe UI" w:cs="Segoe UI"/>
        <w:noProof/>
        <w:color w:val="000000" w:themeColor="text1"/>
        <w:sz w:val="20"/>
        <w:szCs w:val="20"/>
      </w:rPr>
      <w:t>4</w:t>
    </w:r>
    <w:r w:rsidR="00A96320" w:rsidRPr="00A96320">
      <w:rPr>
        <w:rFonts w:ascii="Segoe UI" w:hAnsi="Segoe UI" w:cs="Segoe UI"/>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D410" w14:textId="77777777" w:rsidR="00A96320" w:rsidRDefault="00A9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5B48" w14:textId="77777777" w:rsidR="00E54C47" w:rsidRDefault="00E54C47" w:rsidP="00857218">
      <w:r>
        <w:separator/>
      </w:r>
    </w:p>
  </w:footnote>
  <w:footnote w:type="continuationSeparator" w:id="0">
    <w:p w14:paraId="26EF2CD4" w14:textId="77777777" w:rsidR="00E54C47" w:rsidRDefault="00E54C47" w:rsidP="0085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2DB6" w14:textId="77777777" w:rsidR="00A96320" w:rsidRDefault="00A96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79B5" w14:textId="77777777" w:rsidR="00A96320" w:rsidRDefault="00A96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EA49" w14:textId="77777777" w:rsidR="00A96320" w:rsidRDefault="00A96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7A"/>
    <w:multiLevelType w:val="hybridMultilevel"/>
    <w:tmpl w:val="1C9AA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843"/>
    <w:multiLevelType w:val="hybridMultilevel"/>
    <w:tmpl w:val="5FF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25AEE"/>
    <w:multiLevelType w:val="hybridMultilevel"/>
    <w:tmpl w:val="27A43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3645"/>
    <w:multiLevelType w:val="hybridMultilevel"/>
    <w:tmpl w:val="5FF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F2481"/>
    <w:multiLevelType w:val="hybridMultilevel"/>
    <w:tmpl w:val="5FF4A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F04935"/>
    <w:multiLevelType w:val="hybridMultilevel"/>
    <w:tmpl w:val="7228F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420655"/>
    <w:multiLevelType w:val="hybridMultilevel"/>
    <w:tmpl w:val="59081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D258E8"/>
    <w:multiLevelType w:val="hybridMultilevel"/>
    <w:tmpl w:val="E2B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80D12"/>
    <w:multiLevelType w:val="hybridMultilevel"/>
    <w:tmpl w:val="3912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188C"/>
    <w:multiLevelType w:val="hybridMultilevel"/>
    <w:tmpl w:val="F238F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147C"/>
    <w:multiLevelType w:val="multilevel"/>
    <w:tmpl w:val="1F9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D2C64"/>
    <w:multiLevelType w:val="hybridMultilevel"/>
    <w:tmpl w:val="606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70DA"/>
    <w:multiLevelType w:val="hybridMultilevel"/>
    <w:tmpl w:val="6E006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E3724A"/>
    <w:multiLevelType w:val="hybridMultilevel"/>
    <w:tmpl w:val="A1AC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131036"/>
    <w:multiLevelType w:val="hybridMultilevel"/>
    <w:tmpl w:val="40C4F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B4E3C"/>
    <w:multiLevelType w:val="hybridMultilevel"/>
    <w:tmpl w:val="0DC0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64723"/>
    <w:multiLevelType w:val="hybridMultilevel"/>
    <w:tmpl w:val="9FF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D52DD"/>
    <w:multiLevelType w:val="hybridMultilevel"/>
    <w:tmpl w:val="754C8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 w:numId="10">
    <w:abstractNumId w:val="13"/>
  </w:num>
  <w:num w:numId="11">
    <w:abstractNumId w:val="6"/>
  </w:num>
  <w:num w:numId="12">
    <w:abstractNumId w:val="9"/>
  </w:num>
  <w:num w:numId="13">
    <w:abstractNumId w:val="2"/>
  </w:num>
  <w:num w:numId="14">
    <w:abstractNumId w:val="0"/>
  </w:num>
  <w:num w:numId="15">
    <w:abstractNumId w:val="12"/>
  </w:num>
  <w:num w:numId="16">
    <w:abstractNumId w:val="17"/>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68"/>
    <w:rsid w:val="000063D6"/>
    <w:rsid w:val="00043FB3"/>
    <w:rsid w:val="00047C9D"/>
    <w:rsid w:val="0007292F"/>
    <w:rsid w:val="00090BCD"/>
    <w:rsid w:val="000B2184"/>
    <w:rsid w:val="000D4B68"/>
    <w:rsid w:val="00103402"/>
    <w:rsid w:val="00105C77"/>
    <w:rsid w:val="00115A37"/>
    <w:rsid w:val="00125219"/>
    <w:rsid w:val="001F737E"/>
    <w:rsid w:val="002612A3"/>
    <w:rsid w:val="00264F03"/>
    <w:rsid w:val="00265935"/>
    <w:rsid w:val="0028371E"/>
    <w:rsid w:val="00287AF3"/>
    <w:rsid w:val="0029216F"/>
    <w:rsid w:val="002B46D3"/>
    <w:rsid w:val="002D4462"/>
    <w:rsid w:val="00312C13"/>
    <w:rsid w:val="003163D3"/>
    <w:rsid w:val="00322F5D"/>
    <w:rsid w:val="003C0227"/>
    <w:rsid w:val="003F7E18"/>
    <w:rsid w:val="00424B1C"/>
    <w:rsid w:val="00426722"/>
    <w:rsid w:val="004525BF"/>
    <w:rsid w:val="00454112"/>
    <w:rsid w:val="004C1D6A"/>
    <w:rsid w:val="005079FE"/>
    <w:rsid w:val="00540AB6"/>
    <w:rsid w:val="005E01E9"/>
    <w:rsid w:val="005F26A2"/>
    <w:rsid w:val="00675D54"/>
    <w:rsid w:val="00691EB8"/>
    <w:rsid w:val="006C47BF"/>
    <w:rsid w:val="006D14E8"/>
    <w:rsid w:val="006D740D"/>
    <w:rsid w:val="006F77D0"/>
    <w:rsid w:val="007217DB"/>
    <w:rsid w:val="007322E5"/>
    <w:rsid w:val="007325FD"/>
    <w:rsid w:val="00753BDD"/>
    <w:rsid w:val="007A4312"/>
    <w:rsid w:val="007C1FFE"/>
    <w:rsid w:val="00816DCC"/>
    <w:rsid w:val="0082564D"/>
    <w:rsid w:val="00843E19"/>
    <w:rsid w:val="00844E5D"/>
    <w:rsid w:val="00857218"/>
    <w:rsid w:val="00866BFC"/>
    <w:rsid w:val="00874746"/>
    <w:rsid w:val="008F0B85"/>
    <w:rsid w:val="008F46BF"/>
    <w:rsid w:val="00923C38"/>
    <w:rsid w:val="00923ED0"/>
    <w:rsid w:val="00975D44"/>
    <w:rsid w:val="009B3468"/>
    <w:rsid w:val="009F0189"/>
    <w:rsid w:val="00A06A4A"/>
    <w:rsid w:val="00A53C5F"/>
    <w:rsid w:val="00A84FFB"/>
    <w:rsid w:val="00A90A6F"/>
    <w:rsid w:val="00A96320"/>
    <w:rsid w:val="00B20ACB"/>
    <w:rsid w:val="00B63E2E"/>
    <w:rsid w:val="00B748CE"/>
    <w:rsid w:val="00B7609D"/>
    <w:rsid w:val="00BA29D4"/>
    <w:rsid w:val="00BE1DD1"/>
    <w:rsid w:val="00BE6BAC"/>
    <w:rsid w:val="00BF652B"/>
    <w:rsid w:val="00C008C0"/>
    <w:rsid w:val="00C127DA"/>
    <w:rsid w:val="00C16677"/>
    <w:rsid w:val="00C24E8E"/>
    <w:rsid w:val="00C67C2E"/>
    <w:rsid w:val="00C773A3"/>
    <w:rsid w:val="00CA59C3"/>
    <w:rsid w:val="00CB36A7"/>
    <w:rsid w:val="00CD00A3"/>
    <w:rsid w:val="00CD3636"/>
    <w:rsid w:val="00D400CC"/>
    <w:rsid w:val="00D96888"/>
    <w:rsid w:val="00DD3694"/>
    <w:rsid w:val="00DE2A17"/>
    <w:rsid w:val="00E352A7"/>
    <w:rsid w:val="00E54C47"/>
    <w:rsid w:val="00E62CDF"/>
    <w:rsid w:val="00E7117A"/>
    <w:rsid w:val="00EA5EBE"/>
    <w:rsid w:val="00F11018"/>
    <w:rsid w:val="00FB3E7F"/>
    <w:rsid w:val="00FE1A9B"/>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6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7"/>
    <w:pPr>
      <w:ind w:left="720"/>
      <w:contextualSpacing/>
    </w:pPr>
  </w:style>
  <w:style w:type="character" w:styleId="Hyperlink">
    <w:name w:val="Hyperlink"/>
    <w:basedOn w:val="DefaultParagraphFont"/>
    <w:uiPriority w:val="99"/>
    <w:unhideWhenUsed/>
    <w:rsid w:val="004525BF"/>
    <w:rPr>
      <w:color w:val="0563C1" w:themeColor="hyperlink"/>
      <w:u w:val="single"/>
    </w:rPr>
  </w:style>
  <w:style w:type="paragraph" w:styleId="BalloonText">
    <w:name w:val="Balloon Text"/>
    <w:basedOn w:val="Normal"/>
    <w:link w:val="BalloonTextChar"/>
    <w:uiPriority w:val="99"/>
    <w:semiHidden/>
    <w:unhideWhenUsed/>
    <w:rsid w:val="00265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35"/>
    <w:rPr>
      <w:rFonts w:ascii="Segoe UI" w:hAnsi="Segoe UI" w:cs="Segoe UI"/>
      <w:sz w:val="18"/>
      <w:szCs w:val="18"/>
    </w:rPr>
  </w:style>
  <w:style w:type="paragraph" w:customStyle="1" w:styleId="xmsonormal">
    <w:name w:val="x_msonormal"/>
    <w:basedOn w:val="Normal"/>
    <w:uiPriority w:val="99"/>
    <w:rsid w:val="00857218"/>
    <w:rPr>
      <w:rFonts w:ascii="Times New Roman" w:hAnsi="Times New Roman" w:cs="Times New Roman"/>
    </w:rPr>
  </w:style>
  <w:style w:type="paragraph" w:styleId="Header">
    <w:name w:val="header"/>
    <w:basedOn w:val="Normal"/>
    <w:link w:val="HeaderChar"/>
    <w:uiPriority w:val="99"/>
    <w:unhideWhenUsed/>
    <w:rsid w:val="00857218"/>
    <w:pPr>
      <w:tabs>
        <w:tab w:val="center" w:pos="4680"/>
        <w:tab w:val="right" w:pos="9360"/>
      </w:tabs>
    </w:pPr>
  </w:style>
  <w:style w:type="character" w:customStyle="1" w:styleId="HeaderChar">
    <w:name w:val="Header Char"/>
    <w:basedOn w:val="DefaultParagraphFont"/>
    <w:link w:val="Header"/>
    <w:uiPriority w:val="99"/>
    <w:rsid w:val="00857218"/>
  </w:style>
  <w:style w:type="paragraph" w:styleId="Footer">
    <w:name w:val="footer"/>
    <w:basedOn w:val="Normal"/>
    <w:link w:val="FooterChar"/>
    <w:uiPriority w:val="99"/>
    <w:unhideWhenUsed/>
    <w:rsid w:val="00857218"/>
    <w:pPr>
      <w:tabs>
        <w:tab w:val="center" w:pos="4680"/>
        <w:tab w:val="right" w:pos="9360"/>
      </w:tabs>
    </w:pPr>
  </w:style>
  <w:style w:type="character" w:customStyle="1" w:styleId="FooterChar">
    <w:name w:val="Footer Char"/>
    <w:basedOn w:val="DefaultParagraphFont"/>
    <w:link w:val="Footer"/>
    <w:uiPriority w:val="99"/>
    <w:rsid w:val="00857218"/>
  </w:style>
  <w:style w:type="character" w:styleId="FollowedHyperlink">
    <w:name w:val="FollowedHyperlink"/>
    <w:basedOn w:val="DefaultParagraphFont"/>
    <w:uiPriority w:val="99"/>
    <w:semiHidden/>
    <w:unhideWhenUsed/>
    <w:rsid w:val="00426722"/>
    <w:rPr>
      <w:color w:val="954F72" w:themeColor="followedHyperlink"/>
      <w:u w:val="single"/>
    </w:rPr>
  </w:style>
  <w:style w:type="character" w:styleId="Strong">
    <w:name w:val="Strong"/>
    <w:basedOn w:val="DefaultParagraphFont"/>
    <w:uiPriority w:val="22"/>
    <w:qFormat/>
    <w:rsid w:val="005079FE"/>
    <w:rPr>
      <w:b/>
      <w:bCs/>
    </w:rPr>
  </w:style>
  <w:style w:type="paragraph" w:styleId="NormalWeb">
    <w:name w:val="Normal (Web)"/>
    <w:basedOn w:val="Normal"/>
    <w:uiPriority w:val="99"/>
    <w:semiHidden/>
    <w:unhideWhenUsed/>
    <w:rsid w:val="009F01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8297">
      <w:bodyDiv w:val="1"/>
      <w:marLeft w:val="0"/>
      <w:marRight w:val="0"/>
      <w:marTop w:val="0"/>
      <w:marBottom w:val="0"/>
      <w:divBdr>
        <w:top w:val="none" w:sz="0" w:space="0" w:color="auto"/>
        <w:left w:val="none" w:sz="0" w:space="0" w:color="auto"/>
        <w:bottom w:val="none" w:sz="0" w:space="0" w:color="auto"/>
        <w:right w:val="none" w:sz="0" w:space="0" w:color="auto"/>
      </w:divBdr>
    </w:div>
    <w:div w:id="238366008">
      <w:bodyDiv w:val="1"/>
      <w:marLeft w:val="0"/>
      <w:marRight w:val="0"/>
      <w:marTop w:val="0"/>
      <w:marBottom w:val="0"/>
      <w:divBdr>
        <w:top w:val="none" w:sz="0" w:space="0" w:color="auto"/>
        <w:left w:val="none" w:sz="0" w:space="0" w:color="auto"/>
        <w:bottom w:val="none" w:sz="0" w:space="0" w:color="auto"/>
        <w:right w:val="none" w:sz="0" w:space="0" w:color="auto"/>
      </w:divBdr>
    </w:div>
    <w:div w:id="1035616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egistrar.unc.edu/academic-services/policies-procedures/university-policy-memorandums/upm-29-definition-of-a-credit-hour/" TargetMode="External"/><Relationship Id="rId3" Type="http://schemas.openxmlformats.org/officeDocument/2006/relationships/settings" Target="settings.xml"/><Relationship Id="rId21" Type="http://schemas.openxmlformats.org/officeDocument/2006/relationships/hyperlink" Target="http://connectcarolina.unc.ed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ceph.org/" TargetMode="External"/><Relationship Id="rId2" Type="http://schemas.openxmlformats.org/officeDocument/2006/relationships/styles" Target="styles.xml"/><Relationship Id="rId16" Type="http://schemas.openxmlformats.org/officeDocument/2006/relationships/hyperlink" Target="http://www.sacs.org/" TargetMode="External"/><Relationship Id="rId20" Type="http://schemas.openxmlformats.org/officeDocument/2006/relationships/hyperlink" Target="http://catalog.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radschool.unc.edu/pdf/GraduateSchoolCourseSyllabi-20190320.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egistrar.unc.edu/courses/curriculum-inventory-management-ci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urricula.unc.edu/curriculum-proposals/cim/syllab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Gillings School of Global Public Health</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Aiya</dc:creator>
  <cp:keywords/>
  <dc:description/>
  <cp:lastModifiedBy>Gaertner, Aleta Evans</cp:lastModifiedBy>
  <cp:revision>26</cp:revision>
  <cp:lastPrinted>2018-07-23T16:51:00Z</cp:lastPrinted>
  <dcterms:created xsi:type="dcterms:W3CDTF">2019-06-28T19:24:00Z</dcterms:created>
  <dcterms:modified xsi:type="dcterms:W3CDTF">2019-08-09T16:10:00Z</dcterms:modified>
</cp:coreProperties>
</file>