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3" w:rsidRDefault="00061723" w:rsidP="0006172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Gillings School of Global Public Health is </w:t>
      </w:r>
      <w:r w:rsidR="0032359F">
        <w:rPr>
          <w:rFonts w:ascii="Arial" w:hAnsi="Arial" w:cs="Arial"/>
        </w:rPr>
        <w:t xml:space="preserve">consistently recognized as a leading public health school. </w:t>
      </w:r>
      <w:r w:rsidR="0032359F" w:rsidRPr="0032359F">
        <w:rPr>
          <w:rFonts w:ascii="Arial" w:hAnsi="Arial" w:cs="Arial"/>
        </w:rPr>
        <w:t>We are ranked the top public school of public health in the nation by U.S. News &amp; World Report (2016 edition) and placed second among all public health schools.</w:t>
      </w:r>
      <w:r>
        <w:rPr>
          <w:rFonts w:ascii="Arial" w:hAnsi="Arial" w:cs="Arial"/>
        </w:rPr>
        <w:t xml:space="preserve"> </w:t>
      </w:r>
    </w:p>
    <w:p w:rsidR="00442767" w:rsidRDefault="00442767" w:rsidP="00061723">
      <w:pPr>
        <w:rPr>
          <w:rFonts w:ascii="Arial" w:hAnsi="Arial" w:cs="Arial"/>
        </w:rPr>
      </w:pPr>
    </w:p>
    <w:p w:rsidR="0032359F" w:rsidRDefault="0032359F" w:rsidP="00323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to the top public health leaders and students for </w:t>
      </w:r>
      <w:r w:rsidR="005376F2">
        <w:rPr>
          <w:rFonts w:ascii="Arial" w:hAnsi="Arial" w:cs="Arial"/>
        </w:rPr>
        <w:t xml:space="preserve">more than </w:t>
      </w:r>
      <w:r>
        <w:rPr>
          <w:rFonts w:ascii="Arial" w:hAnsi="Arial" w:cs="Arial"/>
        </w:rPr>
        <w:t>75 years, t</w:t>
      </w:r>
      <w:r w:rsidR="00061723">
        <w:rPr>
          <w:rFonts w:ascii="Arial" w:hAnsi="Arial" w:cs="Arial"/>
        </w:rPr>
        <w:t>he mission of the</w:t>
      </w:r>
      <w:r>
        <w:rPr>
          <w:rFonts w:ascii="Arial" w:hAnsi="Arial" w:cs="Arial"/>
        </w:rPr>
        <w:t xml:space="preserve"> Gillings</w:t>
      </w:r>
      <w:r w:rsidR="00061723">
        <w:rPr>
          <w:rFonts w:ascii="Arial" w:hAnsi="Arial" w:cs="Arial"/>
        </w:rPr>
        <w:t xml:space="preserve"> School is to </w:t>
      </w:r>
      <w:r w:rsidRPr="0032359F">
        <w:rPr>
          <w:rFonts w:ascii="Arial" w:hAnsi="Arial" w:cs="Arial"/>
        </w:rPr>
        <w:t xml:space="preserve">improve public health, promote individual well-being and eliminate health inequities across North Carolina and around the world. </w:t>
      </w:r>
    </w:p>
    <w:p w:rsidR="0032359F" w:rsidRDefault="0032359F" w:rsidP="0032359F">
      <w:pPr>
        <w:rPr>
          <w:rFonts w:ascii="Arial" w:hAnsi="Arial" w:cs="Arial"/>
        </w:rPr>
      </w:pPr>
    </w:p>
    <w:p w:rsidR="005376F2" w:rsidRPr="005376F2" w:rsidRDefault="005376F2" w:rsidP="005376F2">
      <w:pPr>
        <w:rPr>
          <w:rFonts w:ascii="Arial" w:hAnsi="Arial" w:cs="Arial"/>
        </w:rPr>
      </w:pPr>
      <w:r w:rsidRPr="005376F2">
        <w:rPr>
          <w:rFonts w:ascii="Arial" w:hAnsi="Arial" w:cs="Arial"/>
        </w:rPr>
        <w:t xml:space="preserve">As problem-solvers and leaders, we seek to </w:t>
      </w:r>
      <w:r w:rsidR="00907399">
        <w:rPr>
          <w:rFonts w:ascii="Arial" w:hAnsi="Arial" w:cs="Arial"/>
        </w:rPr>
        <w:t xml:space="preserve">anticipate future health threats and accelerate public health solutions </w:t>
      </w:r>
      <w:r w:rsidRPr="005376F2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“</w:t>
      </w:r>
      <w:r w:rsidR="00907399">
        <w:rPr>
          <w:rFonts w:ascii="Arial" w:hAnsi="Arial" w:cs="Arial"/>
        </w:rPr>
        <w:t>well to the w</w:t>
      </w:r>
      <w:r w:rsidRPr="005376F2">
        <w:rPr>
          <w:rFonts w:ascii="Arial" w:hAnsi="Arial" w:cs="Arial"/>
        </w:rPr>
        <w:t>orld</w:t>
      </w:r>
      <w:r>
        <w:rPr>
          <w:rFonts w:ascii="Arial" w:hAnsi="Arial" w:cs="Arial"/>
        </w:rPr>
        <w:t xml:space="preserve">.” </w:t>
      </w:r>
      <w:r w:rsidRPr="005376F2">
        <w:rPr>
          <w:rFonts w:ascii="Arial" w:hAnsi="Arial" w:cs="Arial"/>
        </w:rPr>
        <w:t xml:space="preserve">Rooted in three cross-cutting themes: eliminating health inequities, strategic leadership and local and global focus, our </w:t>
      </w:r>
      <w:r w:rsidR="00907399">
        <w:rPr>
          <w:rFonts w:ascii="Arial" w:hAnsi="Arial" w:cs="Arial"/>
        </w:rPr>
        <w:t xml:space="preserve">research, teaching and service activities embrace </w:t>
      </w:r>
      <w:r w:rsidRPr="005376F2">
        <w:rPr>
          <w:rFonts w:ascii="Arial" w:hAnsi="Arial" w:cs="Arial"/>
        </w:rPr>
        <w:t>five Gillings School strategic themes</w:t>
      </w:r>
      <w:r w:rsidR="00907399">
        <w:rPr>
          <w:rFonts w:ascii="Arial" w:hAnsi="Arial" w:cs="Arial"/>
        </w:rPr>
        <w:t xml:space="preserve">: </w:t>
      </w:r>
    </w:p>
    <w:p w:rsidR="005376F2" w:rsidRPr="00907399" w:rsidRDefault="005376F2" w:rsidP="009073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399">
        <w:rPr>
          <w:rFonts w:ascii="Arial" w:hAnsi="Arial" w:cs="Arial"/>
        </w:rPr>
        <w:t>Deliver solutions faster</w:t>
      </w:r>
      <w:r w:rsidR="00907399">
        <w:rPr>
          <w:rFonts w:ascii="Arial" w:hAnsi="Arial" w:cs="Arial"/>
        </w:rPr>
        <w:t>.</w:t>
      </w:r>
    </w:p>
    <w:p w:rsidR="005376F2" w:rsidRPr="00907399" w:rsidRDefault="005376F2" w:rsidP="009073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399">
        <w:rPr>
          <w:rFonts w:ascii="Arial" w:hAnsi="Arial" w:cs="Arial"/>
        </w:rPr>
        <w:t>Promote healthy lives at every age.</w:t>
      </w:r>
    </w:p>
    <w:p w:rsidR="005376F2" w:rsidRPr="00907399" w:rsidRDefault="005376F2" w:rsidP="009073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399">
        <w:rPr>
          <w:rFonts w:ascii="Arial" w:hAnsi="Arial" w:cs="Arial"/>
        </w:rPr>
        <w:t>Promote health, prevent disease &amp; improve care.</w:t>
      </w:r>
    </w:p>
    <w:p w:rsidR="005376F2" w:rsidRPr="00907399" w:rsidRDefault="005376F2" w:rsidP="009073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399">
        <w:rPr>
          <w:rFonts w:ascii="Arial" w:hAnsi="Arial" w:cs="Arial"/>
        </w:rPr>
        <w:t>Enable a healthy planet and healthy people.</w:t>
      </w:r>
    </w:p>
    <w:p w:rsidR="005376F2" w:rsidRPr="00907399" w:rsidRDefault="005376F2" w:rsidP="009073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399">
        <w:rPr>
          <w:rFonts w:ascii="Arial" w:hAnsi="Arial" w:cs="Arial"/>
        </w:rPr>
        <w:t>Harness big data for health and well-being.</w:t>
      </w:r>
    </w:p>
    <w:p w:rsidR="00907399" w:rsidRDefault="00907399" w:rsidP="005376F2">
      <w:pPr>
        <w:rPr>
          <w:rFonts w:ascii="Arial" w:hAnsi="Arial" w:cs="Arial"/>
        </w:rPr>
      </w:pPr>
    </w:p>
    <w:p w:rsidR="005376F2" w:rsidRDefault="00907399" w:rsidP="005376F2">
      <w:pPr>
        <w:rPr>
          <w:rFonts w:ascii="Arial" w:hAnsi="Arial" w:cs="Arial"/>
        </w:rPr>
      </w:pPr>
      <w:r>
        <w:rPr>
          <w:rFonts w:ascii="Arial" w:hAnsi="Arial" w:cs="Arial"/>
        </w:rPr>
        <w:t>This work extends to all 100 North Carolina counties, throughout the United States, and to more than 80 countries spanning 6 continents.</w:t>
      </w:r>
    </w:p>
    <w:p w:rsidR="00907399" w:rsidRDefault="00907399" w:rsidP="005376F2">
      <w:pPr>
        <w:rPr>
          <w:rFonts w:ascii="Arial" w:hAnsi="Arial" w:cs="Arial"/>
        </w:rPr>
      </w:pPr>
    </w:p>
    <w:p w:rsidR="005376F2" w:rsidRDefault="001B0603" w:rsidP="005376F2">
      <w:pPr>
        <w:rPr>
          <w:rFonts w:ascii="Arial" w:hAnsi="Arial" w:cs="Arial"/>
        </w:rPr>
      </w:pPr>
      <w:r>
        <w:rPr>
          <w:rFonts w:ascii="Arial" w:hAnsi="Arial" w:cs="Arial"/>
        </w:rPr>
        <w:t>Gillings</w:t>
      </w:r>
      <w:r w:rsidR="00061723">
        <w:rPr>
          <w:rFonts w:ascii="Arial" w:hAnsi="Arial" w:cs="Arial"/>
        </w:rPr>
        <w:t xml:space="preserve"> includes </w:t>
      </w:r>
      <w:r w:rsidR="00902802">
        <w:rPr>
          <w:rFonts w:ascii="Arial" w:hAnsi="Arial" w:cs="Arial"/>
        </w:rPr>
        <w:t xml:space="preserve">250 faculty members working across </w:t>
      </w:r>
      <w:r w:rsidR="00061723">
        <w:rPr>
          <w:rFonts w:ascii="Arial" w:hAnsi="Arial" w:cs="Arial"/>
        </w:rPr>
        <w:t>8 departments/units, including Biostatistics, Environmental Sciences and Engineering, Epidemiology, Health Behavior, Health Policy and Management, Maternal and Child Health, Nutrition, and the Public Health Leadership Prog</w:t>
      </w:r>
      <w:r w:rsidR="005376F2">
        <w:rPr>
          <w:rFonts w:ascii="Arial" w:hAnsi="Arial" w:cs="Arial"/>
        </w:rPr>
        <w:t xml:space="preserve">ram. The Gillings School </w:t>
      </w:r>
      <w:r w:rsidR="00907399">
        <w:rPr>
          <w:rFonts w:ascii="Arial" w:hAnsi="Arial" w:cs="Arial"/>
        </w:rPr>
        <w:t xml:space="preserve">also </w:t>
      </w:r>
      <w:r w:rsidR="005376F2">
        <w:rPr>
          <w:rFonts w:ascii="Arial" w:hAnsi="Arial" w:cs="Arial"/>
        </w:rPr>
        <w:t xml:space="preserve">sponsors more than 20 specialized centers and institutes focused on critical areas of public health. </w:t>
      </w:r>
    </w:p>
    <w:p w:rsidR="00442767" w:rsidRDefault="00442767" w:rsidP="0032359F">
      <w:pPr>
        <w:rPr>
          <w:rFonts w:ascii="Arial" w:hAnsi="Arial" w:cs="Arial"/>
        </w:rPr>
      </w:pPr>
    </w:p>
    <w:p w:rsidR="0032359F" w:rsidRDefault="005376F2" w:rsidP="0032359F">
      <w:pPr>
        <w:rPr>
          <w:rFonts w:ascii="Arial" w:hAnsi="Arial" w:cs="Arial"/>
        </w:rPr>
      </w:pPr>
      <w:r>
        <w:rPr>
          <w:rFonts w:ascii="Arial" w:hAnsi="Arial" w:cs="Arial"/>
        </w:rPr>
        <w:t>In 2016</w:t>
      </w:r>
      <w:r w:rsidR="001B0603">
        <w:rPr>
          <w:rFonts w:ascii="Arial" w:hAnsi="Arial" w:cs="Arial"/>
        </w:rPr>
        <w:t>, p</w:t>
      </w:r>
      <w:r w:rsidR="00442767">
        <w:rPr>
          <w:rFonts w:ascii="Arial" w:hAnsi="Arial" w:cs="Arial"/>
        </w:rPr>
        <w:t xml:space="preserve">rincipal </w:t>
      </w:r>
      <w:r w:rsidR="001B0603">
        <w:rPr>
          <w:rFonts w:ascii="Arial" w:hAnsi="Arial" w:cs="Arial"/>
        </w:rPr>
        <w:t>i</w:t>
      </w:r>
      <w:r w:rsidR="00442767">
        <w:rPr>
          <w:rFonts w:ascii="Arial" w:hAnsi="Arial" w:cs="Arial"/>
        </w:rPr>
        <w:t xml:space="preserve">nvestigators in the Gillings School </w:t>
      </w:r>
      <w:r w:rsidR="001B0603">
        <w:rPr>
          <w:rFonts w:ascii="Arial" w:hAnsi="Arial" w:cs="Arial"/>
        </w:rPr>
        <w:t>received</w:t>
      </w:r>
      <w:r w:rsidR="00442767">
        <w:rPr>
          <w:rFonts w:ascii="Arial" w:hAnsi="Arial" w:cs="Arial"/>
        </w:rPr>
        <w:t xml:space="preserve"> $1</w:t>
      </w:r>
      <w:r>
        <w:rPr>
          <w:rFonts w:ascii="Arial" w:hAnsi="Arial" w:cs="Arial"/>
        </w:rPr>
        <w:t>83</w:t>
      </w:r>
      <w:r w:rsidR="00442767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442767">
        <w:rPr>
          <w:rFonts w:ascii="Arial" w:hAnsi="Arial" w:cs="Arial"/>
        </w:rPr>
        <w:t xml:space="preserve"> million in external grants and contracts funding</w:t>
      </w:r>
      <w:r w:rsidR="001B0603">
        <w:rPr>
          <w:rFonts w:ascii="Arial" w:hAnsi="Arial" w:cs="Arial"/>
        </w:rPr>
        <w:t xml:space="preserve">; we </w:t>
      </w:r>
      <w:r w:rsidR="00442767">
        <w:rPr>
          <w:rFonts w:ascii="Arial" w:hAnsi="Arial" w:cs="Arial"/>
        </w:rPr>
        <w:t xml:space="preserve">ranked third nationally among all Schools of Public Health for number of awards and total dollars awarded by the National Institutes of Health.  </w:t>
      </w:r>
    </w:p>
    <w:p w:rsidR="00056645" w:rsidRDefault="00056645" w:rsidP="00061723">
      <w:pPr>
        <w:rPr>
          <w:rFonts w:ascii="Arial" w:hAnsi="Arial" w:cs="Arial"/>
        </w:rPr>
      </w:pPr>
    </w:p>
    <w:p w:rsidR="00056645" w:rsidRDefault="00056645" w:rsidP="00061723">
      <w:pPr>
        <w:rPr>
          <w:rFonts w:ascii="Arial" w:hAnsi="Arial" w:cs="Arial"/>
        </w:rPr>
      </w:pPr>
    </w:p>
    <w:p w:rsidR="00056645" w:rsidRDefault="00056645" w:rsidP="000617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Updated: </w:t>
      </w:r>
      <w:r w:rsidR="00907399">
        <w:rPr>
          <w:rFonts w:ascii="Arial" w:hAnsi="Arial" w:cs="Arial"/>
        </w:rPr>
        <w:t>February 1, 2017</w:t>
      </w:r>
    </w:p>
    <w:p w:rsidR="00E83549" w:rsidRDefault="00E83549"/>
    <w:p w:rsidR="005376F2" w:rsidRPr="005376F2" w:rsidRDefault="005376F2" w:rsidP="005376F2">
      <w:pPr>
        <w:rPr>
          <w:rFonts w:ascii="Arial" w:eastAsia="Times New Roman" w:hAnsi="Arial" w:cs="Arial"/>
          <w:sz w:val="18"/>
          <w:szCs w:val="18"/>
        </w:rPr>
      </w:pPr>
    </w:p>
    <w:p w:rsidR="005376F2" w:rsidRDefault="005376F2"/>
    <w:sectPr w:rsidR="005376F2" w:rsidSect="00E8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079"/>
    <w:multiLevelType w:val="hybridMultilevel"/>
    <w:tmpl w:val="7A8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FB7"/>
    <w:multiLevelType w:val="multilevel"/>
    <w:tmpl w:val="003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23"/>
    <w:rsid w:val="00056645"/>
    <w:rsid w:val="00061723"/>
    <w:rsid w:val="001B0603"/>
    <w:rsid w:val="002C4540"/>
    <w:rsid w:val="0032359F"/>
    <w:rsid w:val="00442767"/>
    <w:rsid w:val="005376F2"/>
    <w:rsid w:val="00772F51"/>
    <w:rsid w:val="008F7E06"/>
    <w:rsid w:val="00902802"/>
    <w:rsid w:val="00907399"/>
    <w:rsid w:val="00992918"/>
    <w:rsid w:val="00B07539"/>
    <w:rsid w:val="00CD788D"/>
    <w:rsid w:val="00E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14763-4384-433B-8994-6497207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Daniels</dc:creator>
  <cp:lastModifiedBy>Daniels, Christin Leigh</cp:lastModifiedBy>
  <cp:revision>2</cp:revision>
  <dcterms:created xsi:type="dcterms:W3CDTF">2017-02-17T21:04:00Z</dcterms:created>
  <dcterms:modified xsi:type="dcterms:W3CDTF">2017-02-17T21:04:00Z</dcterms:modified>
</cp:coreProperties>
</file>