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85F2E" w14:textId="77777777" w:rsidR="00CC00F8" w:rsidRDefault="00CC00F8" w:rsidP="002C391D">
      <w:pPr>
        <w:pStyle w:val="likeheader"/>
        <w:widowControl w:val="0"/>
      </w:pPr>
    </w:p>
    <w:p w14:paraId="4428387C" w14:textId="77777777" w:rsidR="002B43BF" w:rsidRPr="002B43BF" w:rsidRDefault="002B43BF" w:rsidP="002B43BF">
      <w:pPr>
        <w:autoSpaceDE w:val="0"/>
        <w:autoSpaceDN w:val="0"/>
        <w:spacing w:after="120"/>
        <w:jc w:val="right"/>
        <w:rPr>
          <w:rFonts w:eastAsia="Times New Roman" w:cs="Times New Roman"/>
          <w:sz w:val="16"/>
          <w:szCs w:val="24"/>
          <w:bdr w:val="none" w:sz="0" w:space="0" w:color="auto"/>
        </w:rPr>
      </w:pPr>
      <w:r w:rsidRPr="002B43BF">
        <w:rPr>
          <w:rFonts w:eastAsia="Times New Roman" w:cs="Times New Roman"/>
          <w:sz w:val="16"/>
          <w:szCs w:val="24"/>
          <w:bdr w:val="none" w:sz="0" w:space="0" w:color="auto"/>
        </w:rPr>
        <w:t>OMB No. 0925-0001 and 0925-0002 (Rev. 09/17 Approved Through 03/31/2020)</w:t>
      </w:r>
    </w:p>
    <w:p w14:paraId="560BBF8B" w14:textId="77777777" w:rsidR="002B43BF" w:rsidRPr="002B43BF" w:rsidRDefault="002B43BF" w:rsidP="002B43BF">
      <w:pPr>
        <w:pBdr>
          <w:top w:val="single" w:sz="4" w:space="1" w:color="auto"/>
        </w:pBdr>
        <w:autoSpaceDE w:val="0"/>
        <w:autoSpaceDN w:val="0"/>
        <w:spacing w:before="240"/>
        <w:jc w:val="center"/>
        <w:rPr>
          <w:rFonts w:eastAsia="Times New Roman" w:cs="Times New Roman"/>
          <w:b/>
          <w:szCs w:val="24"/>
          <w:bdr w:val="none" w:sz="0" w:space="0" w:color="auto"/>
        </w:rPr>
      </w:pPr>
      <w:r w:rsidRPr="002B43BF">
        <w:rPr>
          <w:rFonts w:eastAsia="Times New Roman" w:cs="Times New Roman"/>
          <w:b/>
          <w:szCs w:val="24"/>
          <w:bdr w:val="none" w:sz="0" w:space="0" w:color="auto"/>
        </w:rPr>
        <w:t>BIOGRAPHICAL SKETCH</w:t>
      </w:r>
    </w:p>
    <w:p w14:paraId="1BC010D0" w14:textId="77777777" w:rsidR="002B43BF" w:rsidRPr="002B43BF" w:rsidRDefault="002B43BF" w:rsidP="002B43BF">
      <w:pPr>
        <w:pBdr>
          <w:bottom w:val="single" w:sz="4" w:space="6" w:color="auto"/>
        </w:pBdr>
        <w:autoSpaceDE w:val="0"/>
        <w:autoSpaceDN w:val="0"/>
        <w:spacing w:before="40" w:after="40"/>
        <w:jc w:val="center"/>
        <w:rPr>
          <w:rFonts w:eastAsia="Times New Roman"/>
          <w:iCs/>
          <w:sz w:val="16"/>
          <w:szCs w:val="16"/>
          <w:bdr w:val="none" w:sz="0" w:space="0" w:color="auto"/>
        </w:rPr>
      </w:pPr>
      <w:r w:rsidRPr="002B43BF">
        <w:rPr>
          <w:rFonts w:eastAsia="Times New Roman"/>
          <w:iCs/>
          <w:sz w:val="16"/>
          <w:szCs w:val="16"/>
          <w:bdr w:val="none" w:sz="0" w:space="0" w:color="auto"/>
        </w:rPr>
        <w:t>Provide the following information for the Senior/key personnel and other significant contributors.</w:t>
      </w:r>
      <w:r w:rsidRPr="002B43BF">
        <w:rPr>
          <w:rFonts w:eastAsia="Times New Roman"/>
          <w:iCs/>
          <w:sz w:val="16"/>
          <w:szCs w:val="16"/>
          <w:bdr w:val="none" w:sz="0" w:space="0" w:color="auto"/>
        </w:rPr>
        <w:br w:type="textWrapping" w:clear="all"/>
        <w:t xml:space="preserve">Follow this format for each person.  </w:t>
      </w:r>
      <w:r w:rsidRPr="002B43BF">
        <w:rPr>
          <w:rFonts w:eastAsia="Times New Roman"/>
          <w:b/>
          <w:iCs/>
          <w:sz w:val="16"/>
          <w:szCs w:val="16"/>
          <w:bdr w:val="none" w:sz="0" w:space="0" w:color="auto"/>
        </w:rPr>
        <w:t>DO NOT EXCEED FIVE PAGES.</w:t>
      </w:r>
    </w:p>
    <w:p w14:paraId="3251C2D2" w14:textId="77777777" w:rsidR="002B43BF" w:rsidRPr="002B43BF" w:rsidRDefault="002B43BF" w:rsidP="002B43BF">
      <w:pPr>
        <w:pBdr>
          <w:between w:val="single" w:sz="4" w:space="1" w:color="auto"/>
        </w:pBdr>
        <w:tabs>
          <w:tab w:val="left" w:pos="270"/>
        </w:tabs>
        <w:autoSpaceDE w:val="0"/>
        <w:autoSpaceDN w:val="0"/>
        <w:spacing w:after="160"/>
        <w:rPr>
          <w:rFonts w:eastAsia="Times New Roman"/>
          <w:sz w:val="32"/>
          <w:szCs w:val="16"/>
          <w:bdr w:val="none" w:sz="0" w:space="0" w:color="auto"/>
        </w:rPr>
      </w:pPr>
      <w:r w:rsidRPr="002B43BF">
        <w:rPr>
          <w:rFonts w:eastAsia="Times New Roman"/>
          <w:szCs w:val="16"/>
          <w:bdr w:val="none" w:sz="0" w:space="0" w:color="auto"/>
        </w:rPr>
        <w:t xml:space="preserve">NAME: </w:t>
      </w:r>
      <w:r>
        <w:rPr>
          <w:rFonts w:eastAsia="Times New Roman"/>
          <w:szCs w:val="16"/>
          <w:bdr w:val="none" w:sz="0" w:space="0" w:color="auto"/>
        </w:rPr>
        <w:t>Lund, Jennifer L.</w:t>
      </w:r>
    </w:p>
    <w:p w14:paraId="05ABC22B" w14:textId="77777777" w:rsidR="002B43BF" w:rsidRPr="002B43BF" w:rsidRDefault="002B43BF" w:rsidP="002B43BF">
      <w:pPr>
        <w:pBdr>
          <w:between w:val="single" w:sz="4" w:space="1" w:color="auto"/>
        </w:pBdr>
        <w:tabs>
          <w:tab w:val="left" w:pos="270"/>
        </w:tabs>
        <w:autoSpaceDE w:val="0"/>
        <w:autoSpaceDN w:val="0"/>
        <w:spacing w:after="160"/>
        <w:rPr>
          <w:rFonts w:eastAsia="Times New Roman"/>
          <w:sz w:val="32"/>
          <w:szCs w:val="16"/>
          <w:bdr w:val="none" w:sz="0" w:space="0" w:color="auto"/>
        </w:rPr>
      </w:pPr>
      <w:proofErr w:type="spellStart"/>
      <w:r w:rsidRPr="002B43BF">
        <w:rPr>
          <w:rFonts w:eastAsia="Times New Roman"/>
          <w:szCs w:val="16"/>
          <w:bdr w:val="none" w:sz="0" w:space="0" w:color="auto"/>
        </w:rPr>
        <w:t>eRA</w:t>
      </w:r>
      <w:proofErr w:type="spellEnd"/>
      <w:r w:rsidRPr="002B43BF">
        <w:rPr>
          <w:rFonts w:eastAsia="Times New Roman"/>
          <w:szCs w:val="16"/>
          <w:bdr w:val="none" w:sz="0" w:space="0" w:color="auto"/>
        </w:rPr>
        <w:t xml:space="preserve"> COMMONS </w:t>
      </w:r>
      <w:proofErr w:type="gramStart"/>
      <w:r w:rsidRPr="002B43BF">
        <w:rPr>
          <w:rFonts w:eastAsia="Times New Roman"/>
          <w:szCs w:val="16"/>
          <w:bdr w:val="none" w:sz="0" w:space="0" w:color="auto"/>
        </w:rPr>
        <w:t>USER NAME</w:t>
      </w:r>
      <w:proofErr w:type="gramEnd"/>
      <w:r w:rsidRPr="002B43BF">
        <w:rPr>
          <w:rFonts w:eastAsia="Times New Roman"/>
          <w:szCs w:val="16"/>
          <w:bdr w:val="none" w:sz="0" w:space="0" w:color="auto"/>
        </w:rPr>
        <w:t xml:space="preserve"> (credential, e.g., agency login): </w:t>
      </w:r>
      <w:r>
        <w:rPr>
          <w:rFonts w:eastAsia="Times New Roman"/>
          <w:szCs w:val="16"/>
          <w:bdr w:val="none" w:sz="0" w:space="0" w:color="auto"/>
        </w:rPr>
        <w:t>JENLUND</w:t>
      </w:r>
    </w:p>
    <w:p w14:paraId="294490DD" w14:textId="42961C02" w:rsidR="002B43BF" w:rsidRPr="002B43BF" w:rsidRDefault="002B43BF" w:rsidP="002B43BF">
      <w:pPr>
        <w:pBdr>
          <w:between w:val="single" w:sz="4" w:space="1" w:color="auto"/>
        </w:pBdr>
        <w:tabs>
          <w:tab w:val="left" w:pos="270"/>
        </w:tabs>
        <w:autoSpaceDE w:val="0"/>
        <w:autoSpaceDN w:val="0"/>
        <w:spacing w:after="160"/>
        <w:rPr>
          <w:rFonts w:eastAsia="Times New Roman"/>
          <w:sz w:val="32"/>
          <w:szCs w:val="16"/>
          <w:bdr w:val="none" w:sz="0" w:space="0" w:color="auto"/>
        </w:rPr>
      </w:pPr>
      <w:r w:rsidRPr="002B43BF">
        <w:rPr>
          <w:rFonts w:eastAsia="Times New Roman"/>
          <w:szCs w:val="16"/>
          <w:bdr w:val="none" w:sz="0" w:space="0" w:color="auto"/>
        </w:rPr>
        <w:t>POSITION TITLE:</w:t>
      </w:r>
      <w:r>
        <w:rPr>
          <w:rFonts w:eastAsia="Times New Roman"/>
          <w:szCs w:val="16"/>
          <w:bdr w:val="none" w:sz="0" w:space="0" w:color="auto"/>
        </w:rPr>
        <w:t xml:space="preserve"> A</w:t>
      </w:r>
      <w:r w:rsidR="009472C9">
        <w:rPr>
          <w:rFonts w:eastAsia="Times New Roman"/>
          <w:szCs w:val="16"/>
          <w:bdr w:val="none" w:sz="0" w:space="0" w:color="auto"/>
        </w:rPr>
        <w:t xml:space="preserve">ssociate </w:t>
      </w:r>
      <w:r>
        <w:rPr>
          <w:rFonts w:eastAsia="Times New Roman"/>
          <w:szCs w:val="16"/>
          <w:bdr w:val="none" w:sz="0" w:space="0" w:color="auto"/>
        </w:rPr>
        <w:t>Professor</w:t>
      </w:r>
    </w:p>
    <w:p w14:paraId="46762C53" w14:textId="77777777" w:rsidR="002B43BF" w:rsidRPr="002B43BF" w:rsidRDefault="002B43BF" w:rsidP="002B43BF">
      <w:pPr>
        <w:pBdr>
          <w:between w:val="single" w:sz="4" w:space="1" w:color="auto"/>
        </w:pBdr>
        <w:tabs>
          <w:tab w:val="left" w:pos="270"/>
        </w:tabs>
        <w:autoSpaceDE w:val="0"/>
        <w:autoSpaceDN w:val="0"/>
        <w:spacing w:after="160"/>
        <w:rPr>
          <w:rFonts w:eastAsia="Times New Roman"/>
          <w:szCs w:val="16"/>
          <w:bdr w:val="none" w:sz="0" w:space="0" w:color="auto"/>
        </w:rPr>
      </w:pPr>
      <w:r w:rsidRPr="002B43BF">
        <w:rPr>
          <w:rFonts w:eastAsia="Times New Roman"/>
          <w:szCs w:val="16"/>
          <w:bdr w:val="none" w:sz="0" w:space="0" w:color="auto"/>
        </w:rPr>
        <w:t xml:space="preserve">EDUCATION/TRAINING </w:t>
      </w:r>
      <w:r w:rsidRPr="002B43BF">
        <w:rPr>
          <w:rFonts w:eastAsia="Times New Roman"/>
          <w:i/>
          <w:iCs/>
          <w:szCs w:val="16"/>
          <w:bdr w:val="none" w:sz="0" w:space="0" w:color="auto"/>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2B43BF" w:rsidRPr="002B43BF" w14:paraId="6D3342AE" w14:textId="77777777" w:rsidTr="00076302">
        <w:trPr>
          <w:cantSplit/>
          <w:tblHeader/>
        </w:trPr>
        <w:tc>
          <w:tcPr>
            <w:tcW w:w="5220" w:type="dxa"/>
            <w:tcBorders>
              <w:top w:val="single" w:sz="4" w:space="0" w:color="auto"/>
              <w:bottom w:val="single" w:sz="4" w:space="0" w:color="auto"/>
            </w:tcBorders>
            <w:vAlign w:val="center"/>
          </w:tcPr>
          <w:p w14:paraId="3E8F5547" w14:textId="77777777" w:rsidR="002B43BF" w:rsidRPr="002B43BF" w:rsidRDefault="002B43BF" w:rsidP="002B43BF">
            <w:pPr>
              <w:tabs>
                <w:tab w:val="left" w:pos="270"/>
              </w:tabs>
              <w:autoSpaceDE w:val="0"/>
              <w:autoSpaceDN w:val="0"/>
              <w:jc w:val="center"/>
              <w:rPr>
                <w:rFonts w:eastAsia="Times New Roman"/>
                <w:szCs w:val="16"/>
                <w:bdr w:val="none" w:sz="0" w:space="0" w:color="auto"/>
              </w:rPr>
            </w:pPr>
            <w:r w:rsidRPr="002B43BF">
              <w:rPr>
                <w:rFonts w:eastAsia="Times New Roman"/>
                <w:szCs w:val="16"/>
                <w:bdr w:val="none" w:sz="0" w:space="0" w:color="auto"/>
              </w:rPr>
              <w:t>INSTITUTION AND LOCATION</w:t>
            </w:r>
          </w:p>
        </w:tc>
        <w:tc>
          <w:tcPr>
            <w:tcW w:w="1440" w:type="dxa"/>
            <w:tcBorders>
              <w:top w:val="single" w:sz="4" w:space="0" w:color="auto"/>
              <w:bottom w:val="single" w:sz="4" w:space="0" w:color="auto"/>
            </w:tcBorders>
            <w:vAlign w:val="center"/>
          </w:tcPr>
          <w:p w14:paraId="1BC75891" w14:textId="77777777" w:rsidR="002B43BF" w:rsidRPr="002B43BF" w:rsidRDefault="002B43BF" w:rsidP="002B43BF">
            <w:pPr>
              <w:tabs>
                <w:tab w:val="left" w:pos="270"/>
              </w:tabs>
              <w:autoSpaceDE w:val="0"/>
              <w:autoSpaceDN w:val="0"/>
              <w:jc w:val="center"/>
              <w:rPr>
                <w:rFonts w:eastAsia="Times New Roman"/>
                <w:szCs w:val="16"/>
                <w:bdr w:val="none" w:sz="0" w:space="0" w:color="auto"/>
              </w:rPr>
            </w:pPr>
            <w:r w:rsidRPr="002B43BF">
              <w:rPr>
                <w:rFonts w:eastAsia="Times New Roman"/>
                <w:szCs w:val="16"/>
                <w:bdr w:val="none" w:sz="0" w:space="0" w:color="auto"/>
              </w:rPr>
              <w:t>DEGREE</w:t>
            </w:r>
          </w:p>
          <w:p w14:paraId="499D6900" w14:textId="77777777" w:rsidR="002B43BF" w:rsidRPr="002B43BF" w:rsidRDefault="002B43BF" w:rsidP="002B43BF">
            <w:pPr>
              <w:tabs>
                <w:tab w:val="left" w:pos="270"/>
              </w:tabs>
              <w:autoSpaceDE w:val="0"/>
              <w:autoSpaceDN w:val="0"/>
              <w:jc w:val="center"/>
              <w:rPr>
                <w:rFonts w:eastAsia="Times New Roman"/>
                <w:i/>
                <w:iCs/>
                <w:szCs w:val="16"/>
                <w:bdr w:val="none" w:sz="0" w:space="0" w:color="auto"/>
              </w:rPr>
            </w:pPr>
            <w:r w:rsidRPr="002B43BF">
              <w:rPr>
                <w:rFonts w:eastAsia="Times New Roman"/>
                <w:i/>
                <w:iCs/>
                <w:szCs w:val="16"/>
                <w:bdr w:val="none" w:sz="0" w:space="0" w:color="auto"/>
              </w:rPr>
              <w:t>(if applicable)</w:t>
            </w:r>
          </w:p>
          <w:p w14:paraId="36D1F2ED" w14:textId="77777777" w:rsidR="002B43BF" w:rsidRPr="002B43BF" w:rsidRDefault="002B43BF" w:rsidP="002B43BF">
            <w:pPr>
              <w:tabs>
                <w:tab w:val="left" w:pos="270"/>
              </w:tabs>
              <w:autoSpaceDE w:val="0"/>
              <w:autoSpaceDN w:val="0"/>
              <w:rPr>
                <w:rFonts w:eastAsia="Times New Roman"/>
                <w:szCs w:val="16"/>
                <w:bdr w:val="none" w:sz="0" w:space="0" w:color="auto"/>
              </w:rPr>
            </w:pPr>
          </w:p>
        </w:tc>
        <w:tc>
          <w:tcPr>
            <w:tcW w:w="1584" w:type="dxa"/>
            <w:tcBorders>
              <w:top w:val="single" w:sz="4" w:space="0" w:color="auto"/>
              <w:bottom w:val="single" w:sz="4" w:space="0" w:color="auto"/>
            </w:tcBorders>
            <w:vAlign w:val="center"/>
          </w:tcPr>
          <w:p w14:paraId="2F614457" w14:textId="77777777" w:rsidR="002B43BF" w:rsidRPr="002B43BF" w:rsidRDefault="002B43BF" w:rsidP="002B43BF">
            <w:pPr>
              <w:tabs>
                <w:tab w:val="left" w:pos="270"/>
              </w:tabs>
              <w:autoSpaceDE w:val="0"/>
              <w:autoSpaceDN w:val="0"/>
              <w:jc w:val="center"/>
              <w:rPr>
                <w:rFonts w:eastAsia="Times New Roman"/>
                <w:szCs w:val="16"/>
                <w:bdr w:val="none" w:sz="0" w:space="0" w:color="auto"/>
              </w:rPr>
            </w:pPr>
            <w:r w:rsidRPr="002B43BF">
              <w:rPr>
                <w:rFonts w:eastAsia="Times New Roman"/>
                <w:szCs w:val="16"/>
                <w:bdr w:val="none" w:sz="0" w:space="0" w:color="auto"/>
              </w:rPr>
              <w:t>Completion Date</w:t>
            </w:r>
          </w:p>
          <w:p w14:paraId="41879A11" w14:textId="77777777" w:rsidR="002B43BF" w:rsidRPr="002B43BF" w:rsidRDefault="002B43BF" w:rsidP="002B43BF">
            <w:pPr>
              <w:tabs>
                <w:tab w:val="left" w:pos="270"/>
              </w:tabs>
              <w:autoSpaceDE w:val="0"/>
              <w:autoSpaceDN w:val="0"/>
              <w:jc w:val="center"/>
              <w:rPr>
                <w:rFonts w:eastAsia="Times New Roman"/>
                <w:szCs w:val="16"/>
                <w:bdr w:val="none" w:sz="0" w:space="0" w:color="auto"/>
              </w:rPr>
            </w:pPr>
            <w:r w:rsidRPr="002B43BF">
              <w:rPr>
                <w:rFonts w:eastAsia="Times New Roman"/>
                <w:szCs w:val="16"/>
                <w:bdr w:val="none" w:sz="0" w:space="0" w:color="auto"/>
              </w:rPr>
              <w:t>MM/YYYY</w:t>
            </w:r>
          </w:p>
          <w:p w14:paraId="0A2E5D90" w14:textId="77777777" w:rsidR="002B43BF" w:rsidRPr="002B43BF" w:rsidRDefault="002B43BF" w:rsidP="002B43BF">
            <w:pPr>
              <w:tabs>
                <w:tab w:val="left" w:pos="270"/>
              </w:tabs>
              <w:autoSpaceDE w:val="0"/>
              <w:autoSpaceDN w:val="0"/>
              <w:rPr>
                <w:rFonts w:eastAsia="Times New Roman"/>
                <w:szCs w:val="16"/>
                <w:bdr w:val="none" w:sz="0" w:space="0" w:color="auto"/>
              </w:rPr>
            </w:pPr>
          </w:p>
        </w:tc>
        <w:tc>
          <w:tcPr>
            <w:tcW w:w="2592" w:type="dxa"/>
            <w:tcBorders>
              <w:top w:val="single" w:sz="4" w:space="0" w:color="auto"/>
              <w:bottom w:val="single" w:sz="4" w:space="0" w:color="auto"/>
            </w:tcBorders>
            <w:vAlign w:val="center"/>
          </w:tcPr>
          <w:p w14:paraId="2FC8198E" w14:textId="77777777" w:rsidR="002B43BF" w:rsidRPr="002B43BF" w:rsidRDefault="002B43BF" w:rsidP="002B43BF">
            <w:pPr>
              <w:tabs>
                <w:tab w:val="left" w:pos="270"/>
              </w:tabs>
              <w:autoSpaceDE w:val="0"/>
              <w:autoSpaceDN w:val="0"/>
              <w:jc w:val="center"/>
              <w:rPr>
                <w:rFonts w:eastAsia="Times New Roman"/>
                <w:szCs w:val="16"/>
                <w:bdr w:val="none" w:sz="0" w:space="0" w:color="auto"/>
              </w:rPr>
            </w:pPr>
            <w:r w:rsidRPr="002B43BF">
              <w:rPr>
                <w:rFonts w:eastAsia="Times New Roman"/>
                <w:szCs w:val="16"/>
                <w:bdr w:val="none" w:sz="0" w:space="0" w:color="auto"/>
              </w:rPr>
              <w:t>FIELD OF STUDY</w:t>
            </w:r>
          </w:p>
          <w:p w14:paraId="2A8937ED" w14:textId="77777777" w:rsidR="002B43BF" w:rsidRPr="002B43BF" w:rsidRDefault="002B43BF" w:rsidP="002B43BF">
            <w:pPr>
              <w:tabs>
                <w:tab w:val="left" w:pos="270"/>
              </w:tabs>
              <w:autoSpaceDE w:val="0"/>
              <w:autoSpaceDN w:val="0"/>
              <w:rPr>
                <w:rFonts w:eastAsia="Times New Roman"/>
                <w:szCs w:val="16"/>
                <w:bdr w:val="none" w:sz="0" w:space="0" w:color="auto"/>
              </w:rPr>
            </w:pPr>
          </w:p>
        </w:tc>
      </w:tr>
      <w:tr w:rsidR="002B43BF" w:rsidRPr="002B43BF" w14:paraId="12FE3C2F" w14:textId="77777777" w:rsidTr="00161545">
        <w:trPr>
          <w:cantSplit/>
          <w:trHeight w:val="395"/>
        </w:trPr>
        <w:tc>
          <w:tcPr>
            <w:tcW w:w="5220" w:type="dxa"/>
            <w:tcBorders>
              <w:right w:val="single" w:sz="6" w:space="0" w:color="000000"/>
            </w:tcBorders>
          </w:tcPr>
          <w:p w14:paraId="62920744" w14:textId="77777777" w:rsidR="002B43BF" w:rsidRDefault="002B43BF" w:rsidP="002B43BF">
            <w:pPr>
              <w:widowControl w:val="0"/>
            </w:pPr>
            <w:r>
              <w:t>Tufts University, Medford, MA</w:t>
            </w:r>
          </w:p>
        </w:tc>
        <w:tc>
          <w:tcPr>
            <w:tcW w:w="1440" w:type="dxa"/>
            <w:tcBorders>
              <w:top w:val="single" w:sz="4" w:space="0" w:color="auto"/>
            </w:tcBorders>
          </w:tcPr>
          <w:p w14:paraId="172DB7DD" w14:textId="77777777" w:rsidR="002B43BF" w:rsidRPr="002B43BF" w:rsidRDefault="002B43BF" w:rsidP="002B43BF">
            <w:pPr>
              <w:tabs>
                <w:tab w:val="left" w:pos="270"/>
              </w:tabs>
              <w:autoSpaceDE w:val="0"/>
              <w:autoSpaceDN w:val="0"/>
              <w:spacing w:before="20" w:after="20"/>
              <w:jc w:val="center"/>
              <w:rPr>
                <w:rFonts w:eastAsia="Times New Roman"/>
                <w:bdr w:val="none" w:sz="0" w:space="0" w:color="auto"/>
              </w:rPr>
            </w:pPr>
            <w:r>
              <w:rPr>
                <w:rFonts w:eastAsia="Times New Roman"/>
                <w:bdr w:val="none" w:sz="0" w:space="0" w:color="auto"/>
              </w:rPr>
              <w:t>B.A.</w:t>
            </w:r>
          </w:p>
        </w:tc>
        <w:tc>
          <w:tcPr>
            <w:tcW w:w="1584" w:type="dxa"/>
            <w:tcBorders>
              <w:top w:val="single" w:sz="4" w:space="0" w:color="auto"/>
            </w:tcBorders>
          </w:tcPr>
          <w:p w14:paraId="4FF34BF0" w14:textId="77777777" w:rsidR="002B43BF" w:rsidRPr="002B43BF" w:rsidRDefault="002B43BF" w:rsidP="002B43BF">
            <w:pPr>
              <w:tabs>
                <w:tab w:val="left" w:pos="270"/>
              </w:tabs>
              <w:autoSpaceDE w:val="0"/>
              <w:autoSpaceDN w:val="0"/>
              <w:spacing w:before="20" w:after="20"/>
              <w:jc w:val="center"/>
              <w:rPr>
                <w:rFonts w:eastAsia="Times New Roman"/>
                <w:bdr w:val="none" w:sz="0" w:space="0" w:color="auto"/>
              </w:rPr>
            </w:pPr>
            <w:r>
              <w:rPr>
                <w:rFonts w:eastAsia="Times New Roman"/>
                <w:bdr w:val="none" w:sz="0" w:space="0" w:color="auto"/>
              </w:rPr>
              <w:t>05/2003</w:t>
            </w:r>
          </w:p>
        </w:tc>
        <w:tc>
          <w:tcPr>
            <w:tcW w:w="2592" w:type="dxa"/>
            <w:tcBorders>
              <w:top w:val="single" w:sz="4" w:space="0" w:color="auto"/>
            </w:tcBorders>
          </w:tcPr>
          <w:p w14:paraId="43B507EF" w14:textId="77777777" w:rsidR="002B43BF" w:rsidRPr="002B43BF" w:rsidRDefault="002B43BF" w:rsidP="002B43BF">
            <w:pPr>
              <w:tabs>
                <w:tab w:val="left" w:pos="270"/>
              </w:tabs>
              <w:autoSpaceDE w:val="0"/>
              <w:autoSpaceDN w:val="0"/>
              <w:spacing w:before="20" w:after="20"/>
              <w:rPr>
                <w:rFonts w:eastAsia="Times New Roman"/>
                <w:bdr w:val="none" w:sz="0" w:space="0" w:color="auto"/>
              </w:rPr>
            </w:pPr>
            <w:r>
              <w:rPr>
                <w:rFonts w:eastAsia="Times New Roman"/>
                <w:bdr w:val="none" w:sz="0" w:space="0" w:color="auto"/>
              </w:rPr>
              <w:t>Economics and International Relations</w:t>
            </w:r>
          </w:p>
        </w:tc>
      </w:tr>
      <w:tr w:rsidR="002B43BF" w:rsidRPr="002B43BF" w14:paraId="6069383F" w14:textId="77777777" w:rsidTr="00161545">
        <w:trPr>
          <w:cantSplit/>
          <w:trHeight w:val="395"/>
        </w:trPr>
        <w:tc>
          <w:tcPr>
            <w:tcW w:w="5220" w:type="dxa"/>
            <w:tcBorders>
              <w:right w:val="single" w:sz="6" w:space="0" w:color="000000"/>
            </w:tcBorders>
          </w:tcPr>
          <w:p w14:paraId="3E57A12E" w14:textId="77777777" w:rsidR="002B43BF" w:rsidRDefault="002B43BF" w:rsidP="002B43BF">
            <w:pPr>
              <w:widowControl w:val="0"/>
            </w:pPr>
            <w:r>
              <w:t>University of North Carolina at Chapel Hill, Chapel Hill, NC</w:t>
            </w:r>
            <w:bookmarkStart w:id="0" w:name="_GoBack"/>
            <w:bookmarkEnd w:id="0"/>
          </w:p>
        </w:tc>
        <w:tc>
          <w:tcPr>
            <w:tcW w:w="1440" w:type="dxa"/>
          </w:tcPr>
          <w:p w14:paraId="42CF2DD7" w14:textId="77777777" w:rsidR="002B43BF" w:rsidRPr="002B43BF" w:rsidRDefault="002B43BF" w:rsidP="002B43BF">
            <w:pPr>
              <w:tabs>
                <w:tab w:val="left" w:pos="270"/>
              </w:tabs>
              <w:autoSpaceDE w:val="0"/>
              <w:autoSpaceDN w:val="0"/>
              <w:spacing w:before="20" w:after="20"/>
              <w:jc w:val="center"/>
              <w:rPr>
                <w:rFonts w:eastAsia="Times New Roman"/>
                <w:bdr w:val="none" w:sz="0" w:space="0" w:color="auto"/>
              </w:rPr>
            </w:pPr>
            <w:r>
              <w:rPr>
                <w:rFonts w:eastAsia="Times New Roman"/>
                <w:bdr w:val="none" w:sz="0" w:space="0" w:color="auto"/>
              </w:rPr>
              <w:t>M.S.P.H.</w:t>
            </w:r>
          </w:p>
        </w:tc>
        <w:tc>
          <w:tcPr>
            <w:tcW w:w="1584" w:type="dxa"/>
          </w:tcPr>
          <w:p w14:paraId="211E5990" w14:textId="77777777" w:rsidR="002B43BF" w:rsidRPr="002B43BF" w:rsidRDefault="002B43BF" w:rsidP="002B43BF">
            <w:pPr>
              <w:tabs>
                <w:tab w:val="left" w:pos="270"/>
              </w:tabs>
              <w:autoSpaceDE w:val="0"/>
              <w:autoSpaceDN w:val="0"/>
              <w:spacing w:before="20" w:after="20"/>
              <w:jc w:val="center"/>
              <w:rPr>
                <w:rFonts w:eastAsia="Times New Roman"/>
                <w:bdr w:val="none" w:sz="0" w:space="0" w:color="auto"/>
              </w:rPr>
            </w:pPr>
            <w:r>
              <w:rPr>
                <w:rFonts w:eastAsia="Times New Roman"/>
                <w:bdr w:val="none" w:sz="0" w:space="0" w:color="auto"/>
              </w:rPr>
              <w:t>12/2009</w:t>
            </w:r>
          </w:p>
        </w:tc>
        <w:tc>
          <w:tcPr>
            <w:tcW w:w="2592" w:type="dxa"/>
          </w:tcPr>
          <w:p w14:paraId="245EB597" w14:textId="77777777" w:rsidR="002B43BF" w:rsidRPr="002B43BF" w:rsidRDefault="002B43BF" w:rsidP="002B43BF">
            <w:pPr>
              <w:tabs>
                <w:tab w:val="left" w:pos="270"/>
              </w:tabs>
              <w:autoSpaceDE w:val="0"/>
              <w:autoSpaceDN w:val="0"/>
              <w:spacing w:before="20" w:after="20"/>
              <w:rPr>
                <w:rFonts w:eastAsia="Times New Roman"/>
                <w:bdr w:val="none" w:sz="0" w:space="0" w:color="auto"/>
              </w:rPr>
            </w:pPr>
            <w:r>
              <w:rPr>
                <w:rFonts w:eastAsia="Times New Roman"/>
                <w:bdr w:val="none" w:sz="0" w:space="0" w:color="auto"/>
              </w:rPr>
              <w:t>Epidemiology</w:t>
            </w:r>
          </w:p>
        </w:tc>
      </w:tr>
      <w:tr w:rsidR="002B43BF" w:rsidRPr="002B43BF" w14:paraId="2940AAD7" w14:textId="77777777" w:rsidTr="00161545">
        <w:trPr>
          <w:cantSplit/>
          <w:trHeight w:val="395"/>
        </w:trPr>
        <w:tc>
          <w:tcPr>
            <w:tcW w:w="5220" w:type="dxa"/>
            <w:tcBorders>
              <w:right w:val="single" w:sz="6" w:space="0" w:color="000000"/>
            </w:tcBorders>
          </w:tcPr>
          <w:p w14:paraId="3F9FB349" w14:textId="77777777" w:rsidR="002B43BF" w:rsidRDefault="002B43BF" w:rsidP="002B43BF">
            <w:pPr>
              <w:widowControl w:val="0"/>
            </w:pPr>
            <w:r>
              <w:t>University of North Carolina at Chapel Hill, Chapel Hill, NC</w:t>
            </w:r>
          </w:p>
        </w:tc>
        <w:tc>
          <w:tcPr>
            <w:tcW w:w="1440" w:type="dxa"/>
          </w:tcPr>
          <w:p w14:paraId="6CADCEA9" w14:textId="77777777" w:rsidR="002B43BF" w:rsidRPr="002B43BF" w:rsidRDefault="002B43BF" w:rsidP="002B43BF">
            <w:pPr>
              <w:tabs>
                <w:tab w:val="left" w:pos="270"/>
              </w:tabs>
              <w:autoSpaceDE w:val="0"/>
              <w:autoSpaceDN w:val="0"/>
              <w:spacing w:before="20" w:after="20"/>
              <w:jc w:val="center"/>
              <w:rPr>
                <w:rFonts w:eastAsia="Times New Roman"/>
                <w:bdr w:val="none" w:sz="0" w:space="0" w:color="auto"/>
              </w:rPr>
            </w:pPr>
            <w:r>
              <w:rPr>
                <w:rFonts w:eastAsia="Times New Roman"/>
                <w:bdr w:val="none" w:sz="0" w:space="0" w:color="auto"/>
              </w:rPr>
              <w:t>Ph.D.</w:t>
            </w:r>
          </w:p>
        </w:tc>
        <w:tc>
          <w:tcPr>
            <w:tcW w:w="1584" w:type="dxa"/>
          </w:tcPr>
          <w:p w14:paraId="62DE0CBF" w14:textId="77777777" w:rsidR="002B43BF" w:rsidRPr="002B43BF" w:rsidRDefault="002B43BF" w:rsidP="002B43BF">
            <w:pPr>
              <w:tabs>
                <w:tab w:val="left" w:pos="270"/>
              </w:tabs>
              <w:autoSpaceDE w:val="0"/>
              <w:autoSpaceDN w:val="0"/>
              <w:spacing w:before="20" w:after="20"/>
              <w:jc w:val="center"/>
              <w:rPr>
                <w:rFonts w:eastAsia="Times New Roman"/>
                <w:bdr w:val="none" w:sz="0" w:space="0" w:color="auto"/>
              </w:rPr>
            </w:pPr>
            <w:r>
              <w:rPr>
                <w:rFonts w:eastAsia="Times New Roman"/>
                <w:bdr w:val="none" w:sz="0" w:space="0" w:color="auto"/>
              </w:rPr>
              <w:t>12/2011</w:t>
            </w:r>
          </w:p>
        </w:tc>
        <w:tc>
          <w:tcPr>
            <w:tcW w:w="2592" w:type="dxa"/>
          </w:tcPr>
          <w:p w14:paraId="7B9BF631" w14:textId="77777777" w:rsidR="002B43BF" w:rsidRPr="002B43BF" w:rsidRDefault="002B43BF" w:rsidP="002B43BF">
            <w:pPr>
              <w:tabs>
                <w:tab w:val="left" w:pos="270"/>
              </w:tabs>
              <w:autoSpaceDE w:val="0"/>
              <w:autoSpaceDN w:val="0"/>
              <w:spacing w:before="20" w:after="20"/>
              <w:rPr>
                <w:rFonts w:eastAsia="Times New Roman"/>
                <w:bdr w:val="none" w:sz="0" w:space="0" w:color="auto"/>
              </w:rPr>
            </w:pPr>
            <w:r>
              <w:rPr>
                <w:rFonts w:eastAsia="Times New Roman"/>
                <w:bdr w:val="none" w:sz="0" w:space="0" w:color="auto"/>
              </w:rPr>
              <w:t>Epidemiology</w:t>
            </w:r>
          </w:p>
        </w:tc>
      </w:tr>
      <w:tr w:rsidR="002B43BF" w:rsidRPr="002B43BF" w14:paraId="7357ED9B" w14:textId="77777777" w:rsidTr="00161545">
        <w:trPr>
          <w:cantSplit/>
          <w:trHeight w:val="395"/>
        </w:trPr>
        <w:tc>
          <w:tcPr>
            <w:tcW w:w="5220" w:type="dxa"/>
            <w:tcBorders>
              <w:right w:val="single" w:sz="6" w:space="0" w:color="000000"/>
            </w:tcBorders>
          </w:tcPr>
          <w:p w14:paraId="30E6C975" w14:textId="77777777" w:rsidR="002B43BF" w:rsidRDefault="002B43BF" w:rsidP="002B43BF">
            <w:pPr>
              <w:widowControl w:val="0"/>
            </w:pPr>
            <w:r>
              <w:t>Aarhus University (Denmark), Aarhus</w:t>
            </w:r>
          </w:p>
        </w:tc>
        <w:tc>
          <w:tcPr>
            <w:tcW w:w="1440" w:type="dxa"/>
          </w:tcPr>
          <w:p w14:paraId="20CB4EB2" w14:textId="77777777" w:rsidR="002B43BF" w:rsidRPr="002B43BF" w:rsidRDefault="002B43BF" w:rsidP="002B43BF">
            <w:pPr>
              <w:tabs>
                <w:tab w:val="left" w:pos="270"/>
              </w:tabs>
              <w:autoSpaceDE w:val="0"/>
              <w:autoSpaceDN w:val="0"/>
              <w:spacing w:before="20" w:after="20"/>
              <w:jc w:val="center"/>
              <w:rPr>
                <w:rFonts w:eastAsia="Times New Roman"/>
                <w:bdr w:val="none" w:sz="0" w:space="0" w:color="auto"/>
              </w:rPr>
            </w:pPr>
            <w:r>
              <w:rPr>
                <w:rFonts w:eastAsia="Times New Roman"/>
                <w:bdr w:val="none" w:sz="0" w:space="0" w:color="auto"/>
              </w:rPr>
              <w:t>Postdoctoral</w:t>
            </w:r>
          </w:p>
        </w:tc>
        <w:tc>
          <w:tcPr>
            <w:tcW w:w="1584" w:type="dxa"/>
          </w:tcPr>
          <w:p w14:paraId="3296B731" w14:textId="77777777" w:rsidR="002B43BF" w:rsidRPr="002B43BF" w:rsidRDefault="002B43BF" w:rsidP="002B43BF">
            <w:pPr>
              <w:tabs>
                <w:tab w:val="left" w:pos="270"/>
              </w:tabs>
              <w:autoSpaceDE w:val="0"/>
              <w:autoSpaceDN w:val="0"/>
              <w:spacing w:before="20" w:after="20"/>
              <w:jc w:val="center"/>
              <w:rPr>
                <w:rFonts w:eastAsia="Times New Roman"/>
                <w:bdr w:val="none" w:sz="0" w:space="0" w:color="auto"/>
              </w:rPr>
            </w:pPr>
            <w:r>
              <w:rPr>
                <w:rFonts w:eastAsia="Times New Roman"/>
                <w:bdr w:val="none" w:sz="0" w:space="0" w:color="auto"/>
              </w:rPr>
              <w:t>09/2013</w:t>
            </w:r>
          </w:p>
        </w:tc>
        <w:tc>
          <w:tcPr>
            <w:tcW w:w="2592" w:type="dxa"/>
          </w:tcPr>
          <w:p w14:paraId="5AFE92F0" w14:textId="77777777" w:rsidR="002B43BF" w:rsidRPr="002B43BF" w:rsidRDefault="002B43BF" w:rsidP="002B43BF">
            <w:pPr>
              <w:tabs>
                <w:tab w:val="left" w:pos="270"/>
              </w:tabs>
              <w:autoSpaceDE w:val="0"/>
              <w:autoSpaceDN w:val="0"/>
              <w:spacing w:before="20" w:after="20"/>
              <w:rPr>
                <w:rFonts w:eastAsia="Times New Roman"/>
                <w:bdr w:val="none" w:sz="0" w:space="0" w:color="auto"/>
              </w:rPr>
            </w:pPr>
            <w:r>
              <w:rPr>
                <w:rFonts w:eastAsia="Times New Roman"/>
                <w:bdr w:val="none" w:sz="0" w:space="0" w:color="auto"/>
              </w:rPr>
              <w:t>Clinical Epidemiology</w:t>
            </w:r>
          </w:p>
        </w:tc>
      </w:tr>
      <w:tr w:rsidR="002B43BF" w:rsidRPr="002B43BF" w14:paraId="79F64FAF" w14:textId="77777777" w:rsidTr="00076302">
        <w:trPr>
          <w:cantSplit/>
          <w:trHeight w:val="395"/>
        </w:trPr>
        <w:tc>
          <w:tcPr>
            <w:tcW w:w="5220" w:type="dxa"/>
          </w:tcPr>
          <w:p w14:paraId="0F434D25" w14:textId="77777777" w:rsidR="002B43BF" w:rsidRPr="002B43BF" w:rsidRDefault="002B43BF" w:rsidP="002B43BF">
            <w:pPr>
              <w:tabs>
                <w:tab w:val="left" w:pos="270"/>
              </w:tabs>
              <w:autoSpaceDE w:val="0"/>
              <w:autoSpaceDN w:val="0"/>
              <w:spacing w:before="20" w:after="20"/>
              <w:rPr>
                <w:rFonts w:eastAsia="Times New Roman"/>
                <w:bdr w:val="none" w:sz="0" w:space="0" w:color="auto"/>
              </w:rPr>
            </w:pPr>
          </w:p>
        </w:tc>
        <w:tc>
          <w:tcPr>
            <w:tcW w:w="1440" w:type="dxa"/>
          </w:tcPr>
          <w:p w14:paraId="23F34568" w14:textId="77777777" w:rsidR="002B43BF" w:rsidRPr="002B43BF" w:rsidRDefault="002B43BF" w:rsidP="002B43BF">
            <w:pPr>
              <w:tabs>
                <w:tab w:val="left" w:pos="270"/>
              </w:tabs>
              <w:autoSpaceDE w:val="0"/>
              <w:autoSpaceDN w:val="0"/>
              <w:spacing w:before="20" w:after="20"/>
              <w:jc w:val="center"/>
              <w:rPr>
                <w:rFonts w:eastAsia="Times New Roman"/>
                <w:bdr w:val="none" w:sz="0" w:space="0" w:color="auto"/>
              </w:rPr>
            </w:pPr>
          </w:p>
        </w:tc>
        <w:tc>
          <w:tcPr>
            <w:tcW w:w="1584" w:type="dxa"/>
          </w:tcPr>
          <w:p w14:paraId="46BA6CC4" w14:textId="77777777" w:rsidR="002B43BF" w:rsidRPr="002B43BF" w:rsidRDefault="002B43BF" w:rsidP="002B43BF">
            <w:pPr>
              <w:tabs>
                <w:tab w:val="left" w:pos="270"/>
              </w:tabs>
              <w:autoSpaceDE w:val="0"/>
              <w:autoSpaceDN w:val="0"/>
              <w:spacing w:before="20" w:after="20"/>
              <w:jc w:val="center"/>
              <w:rPr>
                <w:rFonts w:eastAsia="Times New Roman"/>
                <w:bdr w:val="none" w:sz="0" w:space="0" w:color="auto"/>
              </w:rPr>
            </w:pPr>
          </w:p>
        </w:tc>
        <w:tc>
          <w:tcPr>
            <w:tcW w:w="2592" w:type="dxa"/>
          </w:tcPr>
          <w:p w14:paraId="78EB67B4" w14:textId="77777777" w:rsidR="002B43BF" w:rsidRPr="002B43BF" w:rsidRDefault="002B43BF" w:rsidP="002B43BF">
            <w:pPr>
              <w:tabs>
                <w:tab w:val="left" w:pos="270"/>
              </w:tabs>
              <w:autoSpaceDE w:val="0"/>
              <w:autoSpaceDN w:val="0"/>
              <w:spacing w:before="20" w:after="20"/>
              <w:rPr>
                <w:rFonts w:eastAsia="Times New Roman"/>
                <w:bdr w:val="none" w:sz="0" w:space="0" w:color="auto"/>
              </w:rPr>
            </w:pPr>
          </w:p>
        </w:tc>
      </w:tr>
    </w:tbl>
    <w:p w14:paraId="795BF0F8" w14:textId="77777777" w:rsidR="00CC00F8" w:rsidRPr="00476ECB" w:rsidRDefault="000277EC" w:rsidP="002C391D">
      <w:pPr>
        <w:pStyle w:val="Heading3"/>
        <w:widowControl w:val="0"/>
        <w:spacing w:after="120"/>
        <w:rPr>
          <w:sz w:val="22"/>
          <w:szCs w:val="22"/>
        </w:rPr>
      </w:pPr>
      <w:r w:rsidRPr="00932F0A">
        <w:rPr>
          <w:rFonts w:ascii="Arial" w:eastAsia="Arial" w:hAnsi="Arial" w:cs="Arial"/>
          <w:sz w:val="22"/>
          <w:szCs w:val="22"/>
        </w:rPr>
        <w:t>A</w:t>
      </w:r>
      <w:r w:rsidRPr="00476ECB">
        <w:rPr>
          <w:rFonts w:ascii="Arial" w:eastAsia="Arial" w:hAnsi="Arial" w:cs="Arial"/>
          <w:sz w:val="22"/>
          <w:szCs w:val="22"/>
        </w:rPr>
        <w:t>. Personal Statement</w:t>
      </w:r>
    </w:p>
    <w:p w14:paraId="573858CC" w14:textId="5C889071" w:rsidR="0091767A" w:rsidRDefault="000277EC" w:rsidP="002C391D">
      <w:pPr>
        <w:widowControl w:val="0"/>
        <w:spacing w:after="120"/>
      </w:pPr>
      <w:r w:rsidRPr="00476ECB">
        <w:t xml:space="preserve">I am </w:t>
      </w:r>
      <w:r w:rsidR="00CE1EE2">
        <w:t>an A</w:t>
      </w:r>
      <w:r w:rsidR="00B267C1">
        <w:t xml:space="preserve">ssociate </w:t>
      </w:r>
      <w:r w:rsidR="00CE1EE2">
        <w:t xml:space="preserve">Professor </w:t>
      </w:r>
      <w:r w:rsidR="00C114C6">
        <w:t xml:space="preserve">in the Department of </w:t>
      </w:r>
      <w:r w:rsidR="007648F0">
        <w:t>Epidemiology</w:t>
      </w:r>
      <w:r w:rsidR="00035067">
        <w:t xml:space="preserve"> at the University of North Carolina at Chapel Hill</w:t>
      </w:r>
      <w:r w:rsidR="00CE1EE2">
        <w:t xml:space="preserve">. I conduct </w:t>
      </w:r>
      <w:r w:rsidRPr="00476ECB">
        <w:t>pharmacoepidemiolo</w:t>
      </w:r>
      <w:r w:rsidR="00CE1EE2">
        <w:t xml:space="preserve">gic </w:t>
      </w:r>
      <w:r w:rsidR="00920137">
        <w:t>and comparative effectiveness research</w:t>
      </w:r>
      <w:r w:rsidR="009412E7">
        <w:t xml:space="preserve"> with a focus in aging populations and individuals diagnosed with cancer</w:t>
      </w:r>
      <w:r w:rsidRPr="00476ECB">
        <w:t xml:space="preserve">. The overall objective of my </w:t>
      </w:r>
      <w:r w:rsidR="00920137">
        <w:t xml:space="preserve">work </w:t>
      </w:r>
      <w:r w:rsidRPr="00476ECB">
        <w:t xml:space="preserve">is to generate robust evidence </w:t>
      </w:r>
      <w:r w:rsidR="007648F0">
        <w:t>on the</w:t>
      </w:r>
      <w:r w:rsidRPr="00476ECB">
        <w:t xml:space="preserve"> uses, benefits, and harms of </w:t>
      </w:r>
      <w:r w:rsidR="007648F0">
        <w:t>therapies</w:t>
      </w:r>
      <w:r w:rsidRPr="00476ECB">
        <w:t xml:space="preserve"> that </w:t>
      </w:r>
      <w:r w:rsidR="007648F0">
        <w:t>will improve</w:t>
      </w:r>
      <w:r w:rsidRPr="00476ECB">
        <w:t xml:space="preserve"> </w:t>
      </w:r>
      <w:r w:rsidR="007648F0">
        <w:t>decisions made by policymakers,</w:t>
      </w:r>
      <w:r w:rsidR="00C114C6">
        <w:t xml:space="preserve"> payers,</w:t>
      </w:r>
      <w:r w:rsidR="007648F0">
        <w:t xml:space="preserve"> providers, and </w:t>
      </w:r>
      <w:r w:rsidR="00C114C6">
        <w:t xml:space="preserve">ultimately </w:t>
      </w:r>
      <w:r w:rsidR="007648F0">
        <w:t>patients</w:t>
      </w:r>
      <w:r w:rsidRPr="00476ECB">
        <w:t xml:space="preserve">. </w:t>
      </w:r>
      <w:r w:rsidR="00920137">
        <w:t>M</w:t>
      </w:r>
      <w:r w:rsidR="00956796">
        <w:t xml:space="preserve">y research </w:t>
      </w:r>
      <w:r w:rsidR="00D63ACD">
        <w:t>draws upon</w:t>
      </w:r>
      <w:r w:rsidR="00956796">
        <w:t xml:space="preserve"> large </w:t>
      </w:r>
      <w:r w:rsidR="00247F02">
        <w:t>healthcare</w:t>
      </w:r>
      <w:r w:rsidR="00956796">
        <w:t xml:space="preserve"> databases </w:t>
      </w:r>
      <w:r w:rsidR="00D63ACD">
        <w:t xml:space="preserve">and advanced epidemiologic methods </w:t>
      </w:r>
      <w:r w:rsidR="00956796">
        <w:t xml:space="preserve">to evaluate: </w:t>
      </w:r>
      <w:r w:rsidRPr="00476ECB">
        <w:t xml:space="preserve">(1) the </w:t>
      </w:r>
      <w:r w:rsidR="00C114C6">
        <w:t xml:space="preserve">delivery of </w:t>
      </w:r>
      <w:r w:rsidR="00841CFD">
        <w:t>high-quality</w:t>
      </w:r>
      <w:r w:rsidR="00C114C6">
        <w:t xml:space="preserve"> care</w:t>
      </w:r>
      <w:r w:rsidR="00841CFD">
        <w:t xml:space="preserve"> and</w:t>
      </w:r>
      <w:r w:rsidRPr="00476ECB">
        <w:t xml:space="preserve"> (2) the effectiveness and safety of </w:t>
      </w:r>
      <w:r w:rsidR="00147634">
        <w:t xml:space="preserve">alternative </w:t>
      </w:r>
      <w:r w:rsidRPr="00476ECB">
        <w:t>treatment options</w:t>
      </w:r>
      <w:r w:rsidR="00956796">
        <w:t>.</w:t>
      </w:r>
      <w:r w:rsidR="00BA6502">
        <w:t xml:space="preserve">   </w:t>
      </w:r>
      <w:r w:rsidR="00841CFD">
        <w:t xml:space="preserve">  </w:t>
      </w:r>
      <w:r w:rsidRPr="00476ECB">
        <w:t xml:space="preserve"> </w:t>
      </w:r>
    </w:p>
    <w:p w14:paraId="27B369F2" w14:textId="77777777" w:rsidR="009450E2" w:rsidRPr="007A5265" w:rsidRDefault="00974138" w:rsidP="00375589">
      <w:pPr>
        <w:pStyle w:val="ListParagraph"/>
        <w:numPr>
          <w:ilvl w:val="0"/>
          <w:numId w:val="1"/>
        </w:numPr>
        <w:spacing w:after="120"/>
        <w:rPr>
          <w:rFonts w:eastAsia="Arial" w:cs="Arial"/>
          <w:b/>
          <w:szCs w:val="22"/>
          <w:bdr w:val="nil"/>
        </w:rPr>
      </w:pPr>
      <w:r w:rsidRPr="007A5265">
        <w:rPr>
          <w:rFonts w:eastAsia="Arial" w:cs="Arial"/>
          <w:szCs w:val="22"/>
          <w:bdr w:val="nil"/>
        </w:rPr>
        <w:t>Lund JL</w:t>
      </w:r>
      <w:r w:rsidRPr="00375589">
        <w:rPr>
          <w:rFonts w:eastAsia="Arial" w:cs="Arial"/>
          <w:szCs w:val="22"/>
          <w:bdr w:val="nil"/>
        </w:rPr>
        <w:t>,</w:t>
      </w:r>
      <w:r w:rsidRPr="00375589">
        <w:rPr>
          <w:rFonts w:eastAsia="Arial" w:cs="Arial"/>
          <w:b/>
          <w:szCs w:val="22"/>
          <w:bdr w:val="nil"/>
        </w:rPr>
        <w:t xml:space="preserve"> </w:t>
      </w:r>
      <w:r w:rsidR="005B36AC" w:rsidRPr="005B36AC">
        <w:rPr>
          <w:rFonts w:eastAsia="Arial" w:cs="Arial"/>
          <w:szCs w:val="22"/>
          <w:bdr w:val="nil"/>
        </w:rPr>
        <w:t>Meyer AM, Deal AM, Choi BJ, Chang Y, Williams GR, Pergolotti M, Guerard EJ, Muss HB, Sanoff HK</w:t>
      </w:r>
      <w:r w:rsidRPr="00375589">
        <w:rPr>
          <w:rFonts w:eastAsia="Arial" w:cs="Arial"/>
          <w:szCs w:val="22"/>
          <w:bdr w:val="nil"/>
        </w:rPr>
        <w:t xml:space="preserve">. Data Linkage to Improve Geriatric Oncology Research: A Feasibility Study. </w:t>
      </w:r>
      <w:r w:rsidR="00E86513">
        <w:rPr>
          <w:rFonts w:eastAsia="Arial" w:cs="Arial"/>
          <w:szCs w:val="22"/>
          <w:bdr w:val="nil"/>
        </w:rPr>
        <w:t xml:space="preserve">The </w:t>
      </w:r>
      <w:r w:rsidRPr="00375589">
        <w:rPr>
          <w:rFonts w:eastAsia="Arial" w:cs="Arial"/>
          <w:szCs w:val="22"/>
          <w:bdr w:val="nil"/>
        </w:rPr>
        <w:t>Oncologist. 2017;</w:t>
      </w:r>
      <w:r w:rsidR="007D1D32">
        <w:rPr>
          <w:rFonts w:eastAsia="Arial" w:cs="Arial"/>
          <w:szCs w:val="22"/>
          <w:bdr w:val="nil"/>
        </w:rPr>
        <w:t xml:space="preserve"> </w:t>
      </w:r>
      <w:r w:rsidRPr="00375589">
        <w:rPr>
          <w:rFonts w:eastAsia="Arial" w:cs="Arial"/>
          <w:szCs w:val="22"/>
          <w:bdr w:val="nil"/>
        </w:rPr>
        <w:t>22(8):1002-1005.</w:t>
      </w:r>
      <w:r w:rsidR="005B36AC">
        <w:rPr>
          <w:rFonts w:eastAsia="Arial" w:cs="Arial"/>
          <w:szCs w:val="22"/>
          <w:bdr w:val="nil"/>
        </w:rPr>
        <w:t xml:space="preserve"> </w:t>
      </w:r>
      <w:r w:rsidR="005B36AC" w:rsidRPr="005B36AC">
        <w:rPr>
          <w:rFonts w:eastAsia="Arial" w:cs="Arial"/>
          <w:szCs w:val="22"/>
          <w:bdr w:val="nil"/>
        </w:rPr>
        <w:t xml:space="preserve">PMID: </w:t>
      </w:r>
      <w:r w:rsidR="00D90FCE">
        <w:rPr>
          <w:rFonts w:eastAsia="Arial" w:cs="Arial"/>
          <w:szCs w:val="22"/>
          <w:bdr w:val="nil"/>
        </w:rPr>
        <w:t>28408619,</w:t>
      </w:r>
      <w:r w:rsidR="005B36AC" w:rsidRPr="007A5265">
        <w:rPr>
          <w:rFonts w:eastAsia="Arial" w:cs="Arial"/>
          <w:szCs w:val="22"/>
          <w:bdr w:val="nil"/>
        </w:rPr>
        <w:t xml:space="preserve"> </w:t>
      </w:r>
      <w:r w:rsidR="005B36AC" w:rsidRPr="00375589">
        <w:rPr>
          <w:rFonts w:eastAsia="Arial" w:cs="Arial"/>
          <w:szCs w:val="22"/>
          <w:bdr w:val="nil"/>
        </w:rPr>
        <w:t>PMCID</w:t>
      </w:r>
      <w:r w:rsidR="00E86513">
        <w:rPr>
          <w:rFonts w:eastAsia="Arial" w:cs="Arial"/>
          <w:szCs w:val="22"/>
          <w:bdr w:val="nil"/>
        </w:rPr>
        <w:t xml:space="preserve">: </w:t>
      </w:r>
      <w:r w:rsidR="005B36AC" w:rsidRPr="007A5265">
        <w:rPr>
          <w:rFonts w:eastAsia="Arial" w:cs="Arial"/>
          <w:szCs w:val="22"/>
          <w:bdr w:val="nil"/>
        </w:rPr>
        <w:t>PMC5553948.</w:t>
      </w:r>
    </w:p>
    <w:p w14:paraId="28F4289B" w14:textId="77777777" w:rsidR="00375589" w:rsidRPr="00375589" w:rsidRDefault="00375589" w:rsidP="00375589">
      <w:pPr>
        <w:pStyle w:val="ListParagraph"/>
        <w:widowControl w:val="0"/>
        <w:numPr>
          <w:ilvl w:val="0"/>
          <w:numId w:val="1"/>
        </w:numPr>
        <w:spacing w:after="120"/>
        <w:rPr>
          <w:rFonts w:eastAsia="Arial"/>
          <w:bdr w:val="nil"/>
        </w:rPr>
      </w:pPr>
      <w:r w:rsidRPr="00375589">
        <w:rPr>
          <w:rFonts w:eastAsia="Arial"/>
          <w:bdr w:val="nil"/>
        </w:rPr>
        <w:t xml:space="preserve">Sanoff HK, Chang Y, Reimers M, </w:t>
      </w:r>
      <w:r w:rsidRPr="007A5265">
        <w:rPr>
          <w:rFonts w:eastAsia="Arial"/>
          <w:bdr w:val="nil"/>
        </w:rPr>
        <w:t>Lund JL</w:t>
      </w:r>
      <w:r w:rsidRPr="00375589">
        <w:rPr>
          <w:rFonts w:eastAsia="Arial"/>
          <w:bdr w:val="nil"/>
        </w:rPr>
        <w:t>. Hospice Utilization and Its Effect on Acute Care Needs at the End of Life in Medicare Beneficiaries with Hepatocellular Carcinoma. J</w:t>
      </w:r>
      <w:r w:rsidR="00E86513">
        <w:rPr>
          <w:rFonts w:eastAsia="Arial"/>
          <w:bdr w:val="nil"/>
        </w:rPr>
        <w:t>ournal</w:t>
      </w:r>
      <w:r w:rsidRPr="00375589">
        <w:rPr>
          <w:rFonts w:eastAsia="Arial"/>
          <w:bdr w:val="nil"/>
        </w:rPr>
        <w:t xml:space="preserve"> </w:t>
      </w:r>
      <w:r w:rsidR="00E86513">
        <w:rPr>
          <w:rFonts w:eastAsia="Arial"/>
          <w:bdr w:val="nil"/>
        </w:rPr>
        <w:t xml:space="preserve">of </w:t>
      </w:r>
      <w:r w:rsidRPr="00375589">
        <w:rPr>
          <w:rFonts w:eastAsia="Arial"/>
          <w:bdr w:val="nil"/>
        </w:rPr>
        <w:t>Oncol</w:t>
      </w:r>
      <w:r w:rsidR="00E86513">
        <w:rPr>
          <w:rFonts w:eastAsia="Arial"/>
          <w:bdr w:val="nil"/>
        </w:rPr>
        <w:t>ogy</w:t>
      </w:r>
      <w:r w:rsidRPr="00375589">
        <w:rPr>
          <w:rFonts w:eastAsia="Arial"/>
          <w:bdr w:val="nil"/>
        </w:rPr>
        <w:t xml:space="preserve"> Pract</w:t>
      </w:r>
      <w:r w:rsidR="00E86513">
        <w:rPr>
          <w:rFonts w:eastAsia="Arial"/>
          <w:bdr w:val="nil"/>
        </w:rPr>
        <w:t>ice</w:t>
      </w:r>
      <w:r w:rsidRPr="00375589">
        <w:rPr>
          <w:rFonts w:eastAsia="Arial"/>
          <w:bdr w:val="nil"/>
        </w:rPr>
        <w:t>. 2017 Mar;</w:t>
      </w:r>
      <w:r w:rsidR="007D1D32">
        <w:rPr>
          <w:rFonts w:eastAsia="Arial"/>
          <w:bdr w:val="nil"/>
        </w:rPr>
        <w:t xml:space="preserve"> </w:t>
      </w:r>
      <w:r w:rsidRPr="00375589">
        <w:rPr>
          <w:rFonts w:eastAsia="Arial"/>
          <w:bdr w:val="nil"/>
        </w:rPr>
        <w:t>13(3</w:t>
      </w:r>
      <w:proofErr w:type="gramStart"/>
      <w:r w:rsidRPr="00375589">
        <w:rPr>
          <w:rFonts w:eastAsia="Arial"/>
          <w:bdr w:val="nil"/>
        </w:rPr>
        <w:t>):e</w:t>
      </w:r>
      <w:proofErr w:type="gramEnd"/>
      <w:r w:rsidRPr="00375589">
        <w:rPr>
          <w:rFonts w:eastAsia="Arial"/>
          <w:bdr w:val="nil"/>
        </w:rPr>
        <w:t xml:space="preserve">197-e206. PMID: </w:t>
      </w:r>
      <w:r w:rsidRPr="007A5265">
        <w:rPr>
          <w:rFonts w:eastAsia="Arial" w:cs="Arial"/>
          <w:szCs w:val="22"/>
          <w:bdr w:val="nil"/>
        </w:rPr>
        <w:t>280</w:t>
      </w:r>
      <w:r w:rsidR="00D90FCE">
        <w:rPr>
          <w:rFonts w:eastAsia="Arial" w:cs="Arial"/>
          <w:szCs w:val="22"/>
          <w:bdr w:val="nil"/>
        </w:rPr>
        <w:t>29300,</w:t>
      </w:r>
      <w:r w:rsidRPr="007A5265">
        <w:rPr>
          <w:rFonts w:eastAsia="Arial" w:cs="Arial"/>
          <w:szCs w:val="22"/>
          <w:bdr w:val="nil"/>
        </w:rPr>
        <w:t xml:space="preserve"> </w:t>
      </w:r>
      <w:r w:rsidRPr="00375589">
        <w:rPr>
          <w:rFonts w:eastAsia="Arial" w:cs="Arial"/>
          <w:szCs w:val="22"/>
          <w:bdr w:val="nil"/>
        </w:rPr>
        <w:t>PMCID:</w:t>
      </w:r>
      <w:r w:rsidR="00E86513" w:rsidRPr="007A5265">
        <w:rPr>
          <w:rFonts w:eastAsia="Arial" w:cs="Arial"/>
          <w:color w:val="0000EE"/>
          <w:szCs w:val="22"/>
          <w:bdr w:val="nil"/>
        </w:rPr>
        <w:t xml:space="preserve"> </w:t>
      </w:r>
      <w:r w:rsidRPr="007A5265">
        <w:rPr>
          <w:rFonts w:eastAsia="Arial" w:cs="Arial"/>
          <w:szCs w:val="22"/>
          <w:bdr w:val="nil"/>
        </w:rPr>
        <w:t>PMC5946704.</w:t>
      </w:r>
      <w:r w:rsidRPr="007A5265">
        <w:rPr>
          <w:rFonts w:eastAsia="Arial"/>
          <w:bdr w:val="nil"/>
        </w:rPr>
        <w:t xml:space="preserve"> </w:t>
      </w:r>
    </w:p>
    <w:p w14:paraId="39C684EC" w14:textId="77777777" w:rsidR="005B36AC" w:rsidRPr="007A5265" w:rsidRDefault="005B36AC" w:rsidP="00375589">
      <w:pPr>
        <w:pStyle w:val="citationUlliParagraph"/>
        <w:widowControl w:val="0"/>
        <w:numPr>
          <w:ilvl w:val="0"/>
          <w:numId w:val="1"/>
        </w:numPr>
        <w:spacing w:after="120"/>
      </w:pPr>
      <w:r w:rsidRPr="003E13F2">
        <w:t xml:space="preserve">Guerard EJ, Deal AM, Chang YK, Williams GR, Nyrop KA, Pergolotti M, Muss HB, Sanoff HK, </w:t>
      </w:r>
      <w:r w:rsidRPr="007A5265">
        <w:t>Lund JL</w:t>
      </w:r>
      <w:r w:rsidRPr="003E13F2">
        <w:t>. Frailty Index Developed from a Cancer-Specific Geriatric Assessment and the Association with Mortality among Older Adults with Cancer. Journal of the National Comprehensive Cancer Network. 2017 Jul;</w:t>
      </w:r>
      <w:r w:rsidR="007D1D32">
        <w:t xml:space="preserve"> </w:t>
      </w:r>
      <w:r w:rsidRPr="003E13F2">
        <w:t xml:space="preserve">15(7):894-902. PMID: </w:t>
      </w:r>
      <w:r w:rsidRPr="007A5265">
        <w:t>28687577.</w:t>
      </w:r>
    </w:p>
    <w:p w14:paraId="0FE61792" w14:textId="77777777" w:rsidR="00CC00F8" w:rsidRPr="007A5265" w:rsidRDefault="000277EC" w:rsidP="00542540">
      <w:pPr>
        <w:pStyle w:val="citationUlliParagraph"/>
        <w:widowControl w:val="0"/>
        <w:numPr>
          <w:ilvl w:val="0"/>
          <w:numId w:val="1"/>
        </w:numPr>
        <w:spacing w:after="120"/>
      </w:pPr>
      <w:r w:rsidRPr="007A5265">
        <w:t>Lund JL</w:t>
      </w:r>
      <w:r w:rsidRPr="00375589">
        <w:t xml:space="preserve">, </w:t>
      </w:r>
      <w:r w:rsidR="00147634" w:rsidRPr="00375589">
        <w:t>Stürmer</w:t>
      </w:r>
      <w:r w:rsidRPr="00375589">
        <w:t xml:space="preserve"> T, Sanoff HK. Comparative effectiveness of postoperative chemotherapy among older non-metastatic rectal cancer patients treated with preoperative chemoradiotherapy. Journal of </w:t>
      </w:r>
      <w:r w:rsidR="007346CF" w:rsidRPr="00375589">
        <w:t>G</w:t>
      </w:r>
      <w:r w:rsidRPr="00375589">
        <w:t xml:space="preserve">eriatric </w:t>
      </w:r>
      <w:r w:rsidR="007766A6" w:rsidRPr="00375589">
        <w:t>Oncology. 2016 May;</w:t>
      </w:r>
      <w:r w:rsidR="007D1D32">
        <w:t xml:space="preserve"> </w:t>
      </w:r>
      <w:r w:rsidR="007766A6" w:rsidRPr="00375589">
        <w:t xml:space="preserve">7(3):176-86. </w:t>
      </w:r>
      <w:r w:rsidR="00281D2D" w:rsidRPr="00375589">
        <w:t>PMID:</w:t>
      </w:r>
      <w:r w:rsidR="00281D2D" w:rsidRPr="00375589">
        <w:rPr>
          <w:rFonts w:eastAsia="Times New Roman"/>
          <w:color w:val="454545"/>
          <w:bdr w:val="none" w:sz="0" w:space="0" w:color="auto"/>
        </w:rPr>
        <w:t xml:space="preserve"> </w:t>
      </w:r>
      <w:r w:rsidR="00281D2D" w:rsidRPr="007A5265">
        <w:t>26926829</w:t>
      </w:r>
      <w:r w:rsidR="00D90FCE">
        <w:t>,</w:t>
      </w:r>
      <w:r w:rsidR="00281D2D" w:rsidRPr="00375589">
        <w:rPr>
          <w:rFonts w:eastAsia="Times New Roman"/>
          <w:color w:val="454545"/>
          <w:bdr w:val="none" w:sz="0" w:space="0" w:color="auto"/>
        </w:rPr>
        <w:t xml:space="preserve"> </w:t>
      </w:r>
      <w:r w:rsidR="00F6605E" w:rsidRPr="00375589">
        <w:t xml:space="preserve">PMCID: </w:t>
      </w:r>
      <w:hyperlink r:id="rId7" w:history="1">
        <w:r w:rsidR="00281D2D" w:rsidRPr="007A5265">
          <w:t>PMC4871747</w:t>
        </w:r>
      </w:hyperlink>
      <w:r w:rsidR="007C5422" w:rsidRPr="007A5265">
        <w:t>.</w:t>
      </w:r>
    </w:p>
    <w:p w14:paraId="0922FA9C" w14:textId="77777777" w:rsidR="00CC00F8" w:rsidRPr="00476ECB" w:rsidRDefault="000277EC" w:rsidP="002C391D">
      <w:pPr>
        <w:pStyle w:val="Heading3"/>
        <w:widowControl w:val="0"/>
        <w:rPr>
          <w:sz w:val="22"/>
          <w:szCs w:val="22"/>
        </w:rPr>
      </w:pPr>
      <w:r w:rsidRPr="00476ECB">
        <w:rPr>
          <w:rFonts w:ascii="Arial" w:eastAsia="Arial" w:hAnsi="Arial" w:cs="Arial"/>
          <w:sz w:val="22"/>
          <w:szCs w:val="22"/>
        </w:rPr>
        <w:t>B. Positions and Honors</w:t>
      </w:r>
    </w:p>
    <w:p w14:paraId="1DF4D97D" w14:textId="77777777" w:rsidR="00CC00F8" w:rsidRPr="00476ECB" w:rsidRDefault="000277EC" w:rsidP="002C391D">
      <w:pPr>
        <w:pStyle w:val="h3underline"/>
        <w:widowControl w:val="0"/>
        <w:rPr>
          <w:sz w:val="22"/>
          <w:szCs w:val="22"/>
        </w:rPr>
      </w:pPr>
      <w:r w:rsidRPr="00476ECB">
        <w:rPr>
          <w:rFonts w:ascii="Arial" w:eastAsia="Arial" w:hAnsi="Arial" w:cs="Arial"/>
          <w:sz w:val="22"/>
          <w:szCs w:val="22"/>
        </w:rPr>
        <w:t>Positions and Employment</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CC00F8" w:rsidRPr="00476ECB" w14:paraId="0BB47814" w14:textId="77777777">
        <w:tc>
          <w:tcPr>
            <w:tcW w:w="1530" w:type="dxa"/>
            <w:tcMar>
              <w:top w:w="15" w:type="dxa"/>
              <w:left w:w="15" w:type="dxa"/>
              <w:bottom w:w="15" w:type="dxa"/>
              <w:right w:w="15" w:type="dxa"/>
            </w:tcMar>
          </w:tcPr>
          <w:p w14:paraId="55484755" w14:textId="77777777" w:rsidR="00CC00F8" w:rsidRPr="00476ECB" w:rsidRDefault="000277EC" w:rsidP="002C391D">
            <w:pPr>
              <w:widowControl w:val="0"/>
            </w:pPr>
            <w:r w:rsidRPr="00476ECB">
              <w:t>2003 - 2004</w:t>
            </w:r>
          </w:p>
        </w:tc>
        <w:tc>
          <w:tcPr>
            <w:tcW w:w="0" w:type="auto"/>
            <w:tcMar>
              <w:top w:w="15" w:type="dxa"/>
              <w:left w:w="15" w:type="dxa"/>
              <w:bottom w:w="15" w:type="dxa"/>
              <w:right w:w="15" w:type="dxa"/>
            </w:tcMar>
          </w:tcPr>
          <w:p w14:paraId="50E56730" w14:textId="77777777" w:rsidR="00CC00F8" w:rsidRPr="00476ECB" w:rsidRDefault="000277EC" w:rsidP="002C391D">
            <w:pPr>
              <w:widowControl w:val="0"/>
            </w:pPr>
            <w:r w:rsidRPr="00476ECB">
              <w:t xml:space="preserve">Associate Analyst, Healthcare Antitrust Practice, National Economic Research Associates, </w:t>
            </w:r>
            <w:r w:rsidRPr="00476ECB">
              <w:lastRenderedPageBreak/>
              <w:t>White Plains, NY</w:t>
            </w:r>
          </w:p>
        </w:tc>
      </w:tr>
      <w:tr w:rsidR="00CC00F8" w:rsidRPr="00476ECB" w14:paraId="2CC787DB" w14:textId="77777777">
        <w:tc>
          <w:tcPr>
            <w:tcW w:w="1530" w:type="dxa"/>
            <w:tcMar>
              <w:top w:w="15" w:type="dxa"/>
              <w:left w:w="15" w:type="dxa"/>
              <w:bottom w:w="15" w:type="dxa"/>
              <w:right w:w="15" w:type="dxa"/>
            </w:tcMar>
          </w:tcPr>
          <w:p w14:paraId="256F505D" w14:textId="77777777" w:rsidR="00CC00F8" w:rsidRPr="00476ECB" w:rsidRDefault="000277EC" w:rsidP="002C391D">
            <w:pPr>
              <w:widowControl w:val="0"/>
            </w:pPr>
            <w:r w:rsidRPr="00476ECB">
              <w:lastRenderedPageBreak/>
              <w:t>2005 - 2007</w:t>
            </w:r>
          </w:p>
        </w:tc>
        <w:tc>
          <w:tcPr>
            <w:tcW w:w="0" w:type="auto"/>
            <w:tcMar>
              <w:top w:w="15" w:type="dxa"/>
              <w:left w:w="15" w:type="dxa"/>
              <w:bottom w:w="15" w:type="dxa"/>
              <w:right w:w="15" w:type="dxa"/>
            </w:tcMar>
          </w:tcPr>
          <w:p w14:paraId="3A6AC2FF" w14:textId="77777777" w:rsidR="00CC00F8" w:rsidRPr="00476ECB" w:rsidRDefault="000277EC" w:rsidP="002C391D">
            <w:pPr>
              <w:widowControl w:val="0"/>
            </w:pPr>
            <w:r w:rsidRPr="00476ECB">
              <w:t>Senior Consultant, International Transfer Pricing Economics, Ernst &amp; Young LLP, New York, NY</w:t>
            </w:r>
          </w:p>
        </w:tc>
      </w:tr>
      <w:tr w:rsidR="00CC00F8" w:rsidRPr="00476ECB" w14:paraId="0161490A" w14:textId="77777777">
        <w:tc>
          <w:tcPr>
            <w:tcW w:w="1530" w:type="dxa"/>
            <w:tcMar>
              <w:top w:w="15" w:type="dxa"/>
              <w:left w:w="15" w:type="dxa"/>
              <w:bottom w:w="15" w:type="dxa"/>
              <w:right w:w="15" w:type="dxa"/>
            </w:tcMar>
          </w:tcPr>
          <w:p w14:paraId="7DB3A084" w14:textId="77777777" w:rsidR="00CC00F8" w:rsidRPr="00476ECB" w:rsidRDefault="000277EC" w:rsidP="002C391D">
            <w:pPr>
              <w:widowControl w:val="0"/>
            </w:pPr>
            <w:r w:rsidRPr="00476ECB">
              <w:t>2007 - 2009</w:t>
            </w:r>
          </w:p>
        </w:tc>
        <w:tc>
          <w:tcPr>
            <w:tcW w:w="0" w:type="auto"/>
            <w:tcMar>
              <w:top w:w="15" w:type="dxa"/>
              <w:left w:w="15" w:type="dxa"/>
              <w:bottom w:w="15" w:type="dxa"/>
              <w:right w:w="15" w:type="dxa"/>
            </w:tcMar>
          </w:tcPr>
          <w:p w14:paraId="6F21DE7D" w14:textId="77777777" w:rsidR="00CC00F8" w:rsidRPr="00476ECB" w:rsidRDefault="000277EC" w:rsidP="002C391D">
            <w:pPr>
              <w:widowControl w:val="0"/>
            </w:pPr>
            <w:r w:rsidRPr="00476ECB">
              <w:t>Research Assistant, Department of Epidemiology, UNC-Chapel Hill, Chapel Hill, NC</w:t>
            </w:r>
          </w:p>
        </w:tc>
      </w:tr>
      <w:tr w:rsidR="00CC00F8" w:rsidRPr="00476ECB" w14:paraId="763D7E8C" w14:textId="77777777">
        <w:tc>
          <w:tcPr>
            <w:tcW w:w="1530" w:type="dxa"/>
            <w:tcMar>
              <w:top w:w="15" w:type="dxa"/>
              <w:left w:w="15" w:type="dxa"/>
              <w:bottom w:w="15" w:type="dxa"/>
              <w:right w:w="15" w:type="dxa"/>
            </w:tcMar>
          </w:tcPr>
          <w:p w14:paraId="0C3BC034" w14:textId="77777777" w:rsidR="00CC00F8" w:rsidRPr="00476ECB" w:rsidRDefault="000277EC" w:rsidP="002C391D">
            <w:pPr>
              <w:widowControl w:val="0"/>
            </w:pPr>
            <w:r w:rsidRPr="00476ECB">
              <w:t>2008 - 2008</w:t>
            </w:r>
          </w:p>
        </w:tc>
        <w:tc>
          <w:tcPr>
            <w:tcW w:w="0" w:type="auto"/>
            <w:tcMar>
              <w:top w:w="15" w:type="dxa"/>
              <w:left w:w="15" w:type="dxa"/>
              <w:bottom w:w="15" w:type="dxa"/>
              <w:right w:w="15" w:type="dxa"/>
            </w:tcMar>
          </w:tcPr>
          <w:p w14:paraId="6B494DE0" w14:textId="77777777" w:rsidR="00CC00F8" w:rsidRPr="00476ECB" w:rsidRDefault="000277EC" w:rsidP="002C391D">
            <w:pPr>
              <w:widowControl w:val="0"/>
            </w:pPr>
            <w:r w:rsidRPr="00476ECB">
              <w:t>Summer Fellow, National Cancer Institute, Applied Research Program, Rockville, MD</w:t>
            </w:r>
          </w:p>
        </w:tc>
      </w:tr>
      <w:tr w:rsidR="00CC00F8" w:rsidRPr="00476ECB" w14:paraId="35B4C6A8" w14:textId="77777777">
        <w:tc>
          <w:tcPr>
            <w:tcW w:w="1530" w:type="dxa"/>
            <w:tcMar>
              <w:top w:w="15" w:type="dxa"/>
              <w:left w:w="15" w:type="dxa"/>
              <w:bottom w:w="15" w:type="dxa"/>
              <w:right w:w="15" w:type="dxa"/>
            </w:tcMar>
          </w:tcPr>
          <w:p w14:paraId="302CC64F" w14:textId="77777777" w:rsidR="00CC00F8" w:rsidRPr="00476ECB" w:rsidRDefault="000277EC" w:rsidP="002C391D">
            <w:pPr>
              <w:widowControl w:val="0"/>
            </w:pPr>
            <w:r w:rsidRPr="00476ECB">
              <w:t>2009 - 2011</w:t>
            </w:r>
          </w:p>
        </w:tc>
        <w:tc>
          <w:tcPr>
            <w:tcW w:w="0" w:type="auto"/>
            <w:tcMar>
              <w:top w:w="15" w:type="dxa"/>
              <w:left w:w="15" w:type="dxa"/>
              <w:bottom w:w="15" w:type="dxa"/>
              <w:right w:w="15" w:type="dxa"/>
            </w:tcMar>
          </w:tcPr>
          <w:p w14:paraId="40C08B82" w14:textId="77777777" w:rsidR="00CC00F8" w:rsidRPr="00476ECB" w:rsidRDefault="000277EC" w:rsidP="002C391D">
            <w:pPr>
              <w:widowControl w:val="0"/>
            </w:pPr>
            <w:r w:rsidRPr="00476ECB">
              <w:t>Research Assistant, Worldwide Epidemiology, GlaxoSmithKline, Research Triangle Park, NC</w:t>
            </w:r>
          </w:p>
        </w:tc>
      </w:tr>
      <w:tr w:rsidR="00CC00F8" w:rsidRPr="00476ECB" w14:paraId="700993C9" w14:textId="77777777">
        <w:tc>
          <w:tcPr>
            <w:tcW w:w="1530" w:type="dxa"/>
            <w:tcMar>
              <w:top w:w="15" w:type="dxa"/>
              <w:left w:w="15" w:type="dxa"/>
              <w:bottom w:w="15" w:type="dxa"/>
              <w:right w:w="15" w:type="dxa"/>
            </w:tcMar>
          </w:tcPr>
          <w:p w14:paraId="7335D8FF" w14:textId="77777777" w:rsidR="00CC00F8" w:rsidRPr="00476ECB" w:rsidRDefault="000277EC" w:rsidP="002C391D">
            <w:pPr>
              <w:widowControl w:val="0"/>
            </w:pPr>
            <w:r w:rsidRPr="00476ECB">
              <w:t>2009 - 2011</w:t>
            </w:r>
          </w:p>
        </w:tc>
        <w:tc>
          <w:tcPr>
            <w:tcW w:w="0" w:type="auto"/>
            <w:tcMar>
              <w:top w:w="15" w:type="dxa"/>
              <w:left w:w="15" w:type="dxa"/>
              <w:bottom w:w="15" w:type="dxa"/>
              <w:right w:w="15" w:type="dxa"/>
            </w:tcMar>
          </w:tcPr>
          <w:p w14:paraId="73D290CA" w14:textId="77777777" w:rsidR="00CC00F8" w:rsidRPr="00476ECB" w:rsidRDefault="000277EC" w:rsidP="002C391D">
            <w:pPr>
              <w:widowControl w:val="0"/>
            </w:pPr>
            <w:r w:rsidRPr="00476ECB">
              <w:t>Pre-Doctoral Trainee, School of Medicine, Division of Gastroenterology and Hepatology, UNC-Chapel Hill, Chapel Hill, NC</w:t>
            </w:r>
          </w:p>
        </w:tc>
      </w:tr>
      <w:tr w:rsidR="00CC00F8" w:rsidRPr="00476ECB" w14:paraId="74FE1C6C" w14:textId="77777777">
        <w:tc>
          <w:tcPr>
            <w:tcW w:w="1530" w:type="dxa"/>
            <w:tcMar>
              <w:top w:w="15" w:type="dxa"/>
              <w:left w:w="15" w:type="dxa"/>
              <w:bottom w:w="15" w:type="dxa"/>
              <w:right w:w="15" w:type="dxa"/>
            </w:tcMar>
          </w:tcPr>
          <w:p w14:paraId="3A777058" w14:textId="77777777" w:rsidR="00CC00F8" w:rsidRPr="00476ECB" w:rsidRDefault="000277EC" w:rsidP="002C391D">
            <w:pPr>
              <w:widowControl w:val="0"/>
            </w:pPr>
            <w:r w:rsidRPr="00476ECB">
              <w:t>2010 - 2012</w:t>
            </w:r>
          </w:p>
        </w:tc>
        <w:tc>
          <w:tcPr>
            <w:tcW w:w="0" w:type="auto"/>
            <w:tcMar>
              <w:top w:w="15" w:type="dxa"/>
              <w:left w:w="15" w:type="dxa"/>
              <w:bottom w:w="15" w:type="dxa"/>
              <w:right w:w="15" w:type="dxa"/>
            </w:tcMar>
          </w:tcPr>
          <w:p w14:paraId="131DB038" w14:textId="77777777" w:rsidR="00CC00F8" w:rsidRPr="00476ECB" w:rsidRDefault="000277EC" w:rsidP="002C391D">
            <w:pPr>
              <w:widowControl w:val="0"/>
            </w:pPr>
            <w:r w:rsidRPr="00476ECB">
              <w:t>Teaching Assistant, Department of Epidemiology, UNC-Chapel Hill, Chapel Hill, NC</w:t>
            </w:r>
          </w:p>
        </w:tc>
      </w:tr>
      <w:tr w:rsidR="00CC00F8" w:rsidRPr="00476ECB" w14:paraId="6A527A55" w14:textId="77777777">
        <w:tc>
          <w:tcPr>
            <w:tcW w:w="1530" w:type="dxa"/>
            <w:tcMar>
              <w:top w:w="15" w:type="dxa"/>
              <w:left w:w="15" w:type="dxa"/>
              <w:bottom w:w="15" w:type="dxa"/>
              <w:right w:w="15" w:type="dxa"/>
            </w:tcMar>
          </w:tcPr>
          <w:p w14:paraId="53955165" w14:textId="77777777" w:rsidR="00CC00F8" w:rsidRPr="00476ECB" w:rsidRDefault="000277EC" w:rsidP="002C391D">
            <w:pPr>
              <w:widowControl w:val="0"/>
            </w:pPr>
            <w:r w:rsidRPr="00476ECB">
              <w:t>2012 - 2013</w:t>
            </w:r>
          </w:p>
        </w:tc>
        <w:tc>
          <w:tcPr>
            <w:tcW w:w="0" w:type="auto"/>
            <w:tcMar>
              <w:top w:w="15" w:type="dxa"/>
              <w:left w:w="15" w:type="dxa"/>
              <w:bottom w:w="15" w:type="dxa"/>
              <w:right w:w="15" w:type="dxa"/>
            </w:tcMar>
          </w:tcPr>
          <w:p w14:paraId="22607AC4" w14:textId="77777777" w:rsidR="00CC00F8" w:rsidRPr="00476ECB" w:rsidRDefault="000277EC" w:rsidP="002C391D">
            <w:pPr>
              <w:widowControl w:val="0"/>
            </w:pPr>
            <w:r w:rsidRPr="00476ECB">
              <w:t>Consultant, New England Research Institute, Watertown, MA</w:t>
            </w:r>
          </w:p>
        </w:tc>
      </w:tr>
      <w:tr w:rsidR="00CC00F8" w:rsidRPr="00476ECB" w14:paraId="2501ADC0" w14:textId="77777777">
        <w:tc>
          <w:tcPr>
            <w:tcW w:w="1530" w:type="dxa"/>
            <w:tcMar>
              <w:top w:w="15" w:type="dxa"/>
              <w:left w:w="15" w:type="dxa"/>
              <w:bottom w:w="15" w:type="dxa"/>
              <w:right w:w="15" w:type="dxa"/>
            </w:tcMar>
          </w:tcPr>
          <w:p w14:paraId="792BF381" w14:textId="77777777" w:rsidR="00CC00F8" w:rsidRPr="00476ECB" w:rsidRDefault="000277EC" w:rsidP="002C391D">
            <w:pPr>
              <w:widowControl w:val="0"/>
            </w:pPr>
            <w:r w:rsidRPr="00476ECB">
              <w:t>2012 - 2013</w:t>
            </w:r>
          </w:p>
        </w:tc>
        <w:tc>
          <w:tcPr>
            <w:tcW w:w="0" w:type="auto"/>
            <w:tcMar>
              <w:top w:w="15" w:type="dxa"/>
              <w:left w:w="15" w:type="dxa"/>
              <w:bottom w:w="15" w:type="dxa"/>
              <w:right w:w="15" w:type="dxa"/>
            </w:tcMar>
          </w:tcPr>
          <w:p w14:paraId="262999E5" w14:textId="77777777" w:rsidR="00CC00F8" w:rsidRPr="00476ECB" w:rsidRDefault="000277EC" w:rsidP="002C391D">
            <w:pPr>
              <w:widowControl w:val="0"/>
            </w:pPr>
            <w:r w:rsidRPr="00476ECB">
              <w:t>Consultant, GlaxoSmithKline, Research Triangle Park, NC</w:t>
            </w:r>
          </w:p>
        </w:tc>
      </w:tr>
      <w:tr w:rsidR="00CC00F8" w:rsidRPr="00476ECB" w14:paraId="6F17CA47" w14:textId="77777777">
        <w:tc>
          <w:tcPr>
            <w:tcW w:w="1530" w:type="dxa"/>
            <w:tcMar>
              <w:top w:w="15" w:type="dxa"/>
              <w:left w:w="15" w:type="dxa"/>
              <w:bottom w:w="15" w:type="dxa"/>
              <w:right w:w="15" w:type="dxa"/>
            </w:tcMar>
          </w:tcPr>
          <w:p w14:paraId="4C736422" w14:textId="77777777" w:rsidR="00CC00F8" w:rsidRPr="00476ECB" w:rsidRDefault="000277EC" w:rsidP="002C391D">
            <w:pPr>
              <w:widowControl w:val="0"/>
            </w:pPr>
            <w:r w:rsidRPr="00476ECB">
              <w:t>2012 - 2013</w:t>
            </w:r>
          </w:p>
        </w:tc>
        <w:tc>
          <w:tcPr>
            <w:tcW w:w="0" w:type="auto"/>
            <w:tcMar>
              <w:top w:w="15" w:type="dxa"/>
              <w:left w:w="15" w:type="dxa"/>
              <w:bottom w:w="15" w:type="dxa"/>
              <w:right w:w="15" w:type="dxa"/>
            </w:tcMar>
          </w:tcPr>
          <w:p w14:paraId="01D54DD6" w14:textId="77777777" w:rsidR="00CC00F8" w:rsidRPr="00476ECB" w:rsidRDefault="000277EC" w:rsidP="002C391D">
            <w:pPr>
              <w:widowControl w:val="0"/>
            </w:pPr>
            <w:r w:rsidRPr="00476ECB">
              <w:t>Post-Doctoral Fellow, Department of Clinical Epidemiology, Aarhus University, Aarhus</w:t>
            </w:r>
          </w:p>
        </w:tc>
      </w:tr>
      <w:tr w:rsidR="00CC00F8" w:rsidRPr="00476ECB" w14:paraId="0CD89BB7" w14:textId="77777777">
        <w:tc>
          <w:tcPr>
            <w:tcW w:w="1530" w:type="dxa"/>
            <w:tcMar>
              <w:top w:w="15" w:type="dxa"/>
              <w:left w:w="15" w:type="dxa"/>
              <w:bottom w:w="15" w:type="dxa"/>
              <w:right w:w="15" w:type="dxa"/>
            </w:tcMar>
          </w:tcPr>
          <w:p w14:paraId="7EB80731" w14:textId="5B7AADC2" w:rsidR="00CC00F8" w:rsidRPr="00476ECB" w:rsidRDefault="000277EC" w:rsidP="002C391D">
            <w:pPr>
              <w:widowControl w:val="0"/>
            </w:pPr>
            <w:r w:rsidRPr="00476ECB">
              <w:t xml:space="preserve">2013 - </w:t>
            </w:r>
            <w:r w:rsidR="00B267C1">
              <w:t>2019</w:t>
            </w:r>
          </w:p>
        </w:tc>
        <w:tc>
          <w:tcPr>
            <w:tcW w:w="0" w:type="auto"/>
            <w:tcMar>
              <w:top w:w="15" w:type="dxa"/>
              <w:left w:w="15" w:type="dxa"/>
              <w:bottom w:w="15" w:type="dxa"/>
              <w:right w:w="15" w:type="dxa"/>
            </w:tcMar>
          </w:tcPr>
          <w:p w14:paraId="74F8EE3D" w14:textId="77777777" w:rsidR="00CC00F8" w:rsidRPr="00476ECB" w:rsidRDefault="000277EC" w:rsidP="002C391D">
            <w:pPr>
              <w:widowControl w:val="0"/>
            </w:pPr>
            <w:r w:rsidRPr="00476ECB">
              <w:t>Assistant Professor, Department of Epidemiology, UNC-Chapel Hill, Chapel Hill, NC</w:t>
            </w:r>
          </w:p>
        </w:tc>
      </w:tr>
      <w:tr w:rsidR="00B267C1" w:rsidRPr="00476ECB" w14:paraId="66483F5D" w14:textId="77777777">
        <w:tc>
          <w:tcPr>
            <w:tcW w:w="1530" w:type="dxa"/>
            <w:tcMar>
              <w:top w:w="15" w:type="dxa"/>
              <w:left w:w="15" w:type="dxa"/>
              <w:bottom w:w="15" w:type="dxa"/>
              <w:right w:w="15" w:type="dxa"/>
            </w:tcMar>
          </w:tcPr>
          <w:p w14:paraId="4B322DF0" w14:textId="0D9EFBDB" w:rsidR="00B267C1" w:rsidRPr="00476ECB" w:rsidRDefault="00B267C1" w:rsidP="002C391D">
            <w:pPr>
              <w:widowControl w:val="0"/>
            </w:pPr>
            <w:r>
              <w:t>2019 -</w:t>
            </w:r>
          </w:p>
        </w:tc>
        <w:tc>
          <w:tcPr>
            <w:tcW w:w="0" w:type="auto"/>
            <w:tcMar>
              <w:top w:w="15" w:type="dxa"/>
              <w:left w:w="15" w:type="dxa"/>
              <w:bottom w:w="15" w:type="dxa"/>
              <w:right w:w="15" w:type="dxa"/>
            </w:tcMar>
          </w:tcPr>
          <w:p w14:paraId="5F193D0F" w14:textId="4A9EA843" w:rsidR="00B267C1" w:rsidRPr="00476ECB" w:rsidRDefault="00B267C1" w:rsidP="002C391D">
            <w:pPr>
              <w:widowControl w:val="0"/>
            </w:pPr>
            <w:r>
              <w:t>Associate Professor, Department of Epidemiology, UNC-Chapel Hill, Chapel Hill, NC</w:t>
            </w:r>
          </w:p>
        </w:tc>
      </w:tr>
    </w:tbl>
    <w:p w14:paraId="6CDA7134" w14:textId="77777777" w:rsidR="00CC00F8" w:rsidRPr="00476ECB" w:rsidRDefault="000277EC" w:rsidP="002C391D">
      <w:pPr>
        <w:pStyle w:val="h3underline"/>
        <w:widowControl w:val="0"/>
        <w:rPr>
          <w:sz w:val="22"/>
          <w:szCs w:val="22"/>
        </w:rPr>
      </w:pPr>
      <w:r w:rsidRPr="00476ECB">
        <w:rPr>
          <w:rFonts w:ascii="Arial" w:eastAsia="Arial" w:hAnsi="Arial" w:cs="Arial"/>
          <w:sz w:val="22"/>
          <w:szCs w:val="22"/>
        </w:rPr>
        <w:t>Other Experience and Professional Memberships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CC00F8" w:rsidRPr="00476ECB" w14:paraId="70013477" w14:textId="77777777">
        <w:tc>
          <w:tcPr>
            <w:tcW w:w="1530" w:type="dxa"/>
            <w:tcMar>
              <w:top w:w="15" w:type="dxa"/>
              <w:left w:w="15" w:type="dxa"/>
              <w:bottom w:w="15" w:type="dxa"/>
              <w:right w:w="15" w:type="dxa"/>
            </w:tcMar>
          </w:tcPr>
          <w:p w14:paraId="1335BACD" w14:textId="77777777" w:rsidR="00CC00F8" w:rsidRPr="00476ECB" w:rsidRDefault="000277EC" w:rsidP="002C391D">
            <w:pPr>
              <w:widowControl w:val="0"/>
            </w:pPr>
            <w:r w:rsidRPr="00476ECB">
              <w:t xml:space="preserve">2009 - </w:t>
            </w:r>
          </w:p>
        </w:tc>
        <w:tc>
          <w:tcPr>
            <w:tcW w:w="0" w:type="auto"/>
            <w:tcMar>
              <w:top w:w="15" w:type="dxa"/>
              <w:left w:w="15" w:type="dxa"/>
              <w:bottom w:w="15" w:type="dxa"/>
              <w:right w:w="15" w:type="dxa"/>
            </w:tcMar>
          </w:tcPr>
          <w:p w14:paraId="0F4BF4F6" w14:textId="77777777" w:rsidR="00CC00F8" w:rsidRPr="00476ECB" w:rsidRDefault="000277EC" w:rsidP="002C391D">
            <w:pPr>
              <w:widowControl w:val="0"/>
            </w:pPr>
            <w:r w:rsidRPr="00476ECB">
              <w:t>Member, Society of Epidemiological Research (SER)</w:t>
            </w:r>
          </w:p>
        </w:tc>
      </w:tr>
      <w:tr w:rsidR="00CC00F8" w:rsidRPr="00476ECB" w14:paraId="150952C1" w14:textId="77777777">
        <w:tc>
          <w:tcPr>
            <w:tcW w:w="1530" w:type="dxa"/>
            <w:tcMar>
              <w:top w:w="15" w:type="dxa"/>
              <w:left w:w="15" w:type="dxa"/>
              <w:bottom w:w="15" w:type="dxa"/>
              <w:right w:w="15" w:type="dxa"/>
            </w:tcMar>
          </w:tcPr>
          <w:p w14:paraId="7946B4C9" w14:textId="77777777" w:rsidR="00CC00F8" w:rsidRPr="00476ECB" w:rsidRDefault="000277EC" w:rsidP="002C391D">
            <w:pPr>
              <w:widowControl w:val="0"/>
            </w:pPr>
            <w:r w:rsidRPr="00476ECB">
              <w:t xml:space="preserve">2009 - </w:t>
            </w:r>
          </w:p>
        </w:tc>
        <w:tc>
          <w:tcPr>
            <w:tcW w:w="0" w:type="auto"/>
            <w:tcMar>
              <w:top w:w="15" w:type="dxa"/>
              <w:left w:w="15" w:type="dxa"/>
              <w:bottom w:w="15" w:type="dxa"/>
              <w:right w:w="15" w:type="dxa"/>
            </w:tcMar>
          </w:tcPr>
          <w:p w14:paraId="28927117" w14:textId="77777777" w:rsidR="00CC00F8" w:rsidRPr="00476ECB" w:rsidRDefault="000277EC" w:rsidP="002C391D">
            <w:pPr>
              <w:widowControl w:val="0"/>
            </w:pPr>
            <w:r w:rsidRPr="00476ECB">
              <w:t>Member, International Society of Pharmacoepidemiology (ISPE)</w:t>
            </w:r>
          </w:p>
        </w:tc>
      </w:tr>
      <w:tr w:rsidR="00CC00F8" w:rsidRPr="00476ECB" w14:paraId="4D9E1823" w14:textId="77777777">
        <w:tc>
          <w:tcPr>
            <w:tcW w:w="1530" w:type="dxa"/>
            <w:tcMar>
              <w:top w:w="15" w:type="dxa"/>
              <w:left w:w="15" w:type="dxa"/>
              <w:bottom w:w="15" w:type="dxa"/>
              <w:right w:w="15" w:type="dxa"/>
            </w:tcMar>
          </w:tcPr>
          <w:p w14:paraId="21B86FF6" w14:textId="77777777" w:rsidR="00CC00F8" w:rsidRPr="00476ECB" w:rsidRDefault="000277EC" w:rsidP="002C391D">
            <w:pPr>
              <w:widowControl w:val="0"/>
            </w:pPr>
            <w:r w:rsidRPr="00476ECB">
              <w:t xml:space="preserve">2011 - </w:t>
            </w:r>
          </w:p>
        </w:tc>
        <w:tc>
          <w:tcPr>
            <w:tcW w:w="0" w:type="auto"/>
            <w:tcMar>
              <w:top w:w="15" w:type="dxa"/>
              <w:left w:w="15" w:type="dxa"/>
              <w:bottom w:w="15" w:type="dxa"/>
              <w:right w:w="15" w:type="dxa"/>
            </w:tcMar>
          </w:tcPr>
          <w:p w14:paraId="3BABEC89" w14:textId="77777777" w:rsidR="00CC00F8" w:rsidRPr="00476ECB" w:rsidRDefault="000277EC" w:rsidP="002C391D">
            <w:pPr>
              <w:widowControl w:val="0"/>
            </w:pPr>
            <w:r w:rsidRPr="00476ECB">
              <w:t>Member, American Society of Clinical Oncology (ASCO)</w:t>
            </w:r>
          </w:p>
        </w:tc>
      </w:tr>
      <w:tr w:rsidR="00CC00F8" w:rsidRPr="00476ECB" w14:paraId="2836D0D9" w14:textId="77777777">
        <w:tc>
          <w:tcPr>
            <w:tcW w:w="1530" w:type="dxa"/>
            <w:tcMar>
              <w:top w:w="15" w:type="dxa"/>
              <w:left w:w="15" w:type="dxa"/>
              <w:bottom w:w="15" w:type="dxa"/>
              <w:right w:w="15" w:type="dxa"/>
            </w:tcMar>
          </w:tcPr>
          <w:p w14:paraId="4510E4C9" w14:textId="77777777" w:rsidR="00CC00F8" w:rsidRPr="00476ECB" w:rsidRDefault="000277EC" w:rsidP="002C391D">
            <w:pPr>
              <w:widowControl w:val="0"/>
            </w:pPr>
            <w:r w:rsidRPr="00476ECB">
              <w:t xml:space="preserve">2015 - </w:t>
            </w:r>
          </w:p>
        </w:tc>
        <w:tc>
          <w:tcPr>
            <w:tcW w:w="0" w:type="auto"/>
            <w:tcMar>
              <w:top w:w="15" w:type="dxa"/>
              <w:left w:w="15" w:type="dxa"/>
              <w:bottom w:w="15" w:type="dxa"/>
              <w:right w:w="15" w:type="dxa"/>
            </w:tcMar>
          </w:tcPr>
          <w:p w14:paraId="3425C657" w14:textId="77777777" w:rsidR="00D01778" w:rsidRPr="00476ECB" w:rsidRDefault="000277EC" w:rsidP="002C391D">
            <w:pPr>
              <w:widowControl w:val="0"/>
            </w:pPr>
            <w:r w:rsidRPr="00476ECB">
              <w:t>Member, International Society of Geriatric Oncology</w:t>
            </w:r>
          </w:p>
        </w:tc>
      </w:tr>
      <w:tr w:rsidR="00D01778" w:rsidRPr="00476ECB" w14:paraId="5173E134" w14:textId="77777777">
        <w:tc>
          <w:tcPr>
            <w:tcW w:w="1530" w:type="dxa"/>
            <w:tcMar>
              <w:top w:w="15" w:type="dxa"/>
              <w:left w:w="15" w:type="dxa"/>
              <w:bottom w:w="15" w:type="dxa"/>
              <w:right w:w="15" w:type="dxa"/>
            </w:tcMar>
          </w:tcPr>
          <w:p w14:paraId="59F6D51F" w14:textId="77777777" w:rsidR="00D01778" w:rsidRPr="00476ECB" w:rsidRDefault="00D01778" w:rsidP="002C391D">
            <w:pPr>
              <w:widowControl w:val="0"/>
            </w:pPr>
            <w:r>
              <w:t>20</w:t>
            </w:r>
            <w:r w:rsidR="00375589" w:rsidRPr="00375589">
              <w:t>15</w:t>
            </w:r>
            <w:r w:rsidR="00375589">
              <w:t xml:space="preserve"> </w:t>
            </w:r>
            <w:r>
              <w:t>-</w:t>
            </w:r>
          </w:p>
        </w:tc>
        <w:tc>
          <w:tcPr>
            <w:tcW w:w="0" w:type="auto"/>
            <w:tcMar>
              <w:top w:w="15" w:type="dxa"/>
              <w:left w:w="15" w:type="dxa"/>
              <w:bottom w:w="15" w:type="dxa"/>
              <w:right w:w="15" w:type="dxa"/>
            </w:tcMar>
          </w:tcPr>
          <w:p w14:paraId="6D5ADA41" w14:textId="77777777" w:rsidR="00D01778" w:rsidRPr="00476ECB" w:rsidRDefault="00D01778" w:rsidP="002C391D">
            <w:pPr>
              <w:widowControl w:val="0"/>
            </w:pPr>
            <w:r>
              <w:t>Member, Cancer and Aging Research Group</w:t>
            </w:r>
          </w:p>
        </w:tc>
      </w:tr>
      <w:tr w:rsidR="00D01778" w:rsidRPr="00476ECB" w14:paraId="72EE1B24" w14:textId="77777777">
        <w:tc>
          <w:tcPr>
            <w:tcW w:w="1530" w:type="dxa"/>
            <w:tcMar>
              <w:top w:w="15" w:type="dxa"/>
              <w:left w:w="15" w:type="dxa"/>
              <w:bottom w:w="15" w:type="dxa"/>
              <w:right w:w="15" w:type="dxa"/>
            </w:tcMar>
          </w:tcPr>
          <w:p w14:paraId="65936FD0" w14:textId="77777777" w:rsidR="00D01778" w:rsidRDefault="00D01778" w:rsidP="002C391D">
            <w:pPr>
              <w:widowControl w:val="0"/>
            </w:pPr>
            <w:r>
              <w:t>2018</w:t>
            </w:r>
            <w:r w:rsidR="00375589">
              <w:t xml:space="preserve"> </w:t>
            </w:r>
            <w:r>
              <w:t>-</w:t>
            </w:r>
          </w:p>
        </w:tc>
        <w:tc>
          <w:tcPr>
            <w:tcW w:w="0" w:type="auto"/>
            <w:tcMar>
              <w:top w:w="15" w:type="dxa"/>
              <w:left w:w="15" w:type="dxa"/>
              <w:bottom w:w="15" w:type="dxa"/>
              <w:right w:w="15" w:type="dxa"/>
            </w:tcMar>
          </w:tcPr>
          <w:p w14:paraId="64357C4A" w14:textId="77777777" w:rsidR="00D01778" w:rsidRDefault="00D01778" w:rsidP="002C391D">
            <w:pPr>
              <w:widowControl w:val="0"/>
            </w:pPr>
            <w:r>
              <w:t xml:space="preserve">Editorial Board Member, </w:t>
            </w:r>
            <w:r w:rsidRPr="00D01778">
              <w:rPr>
                <w:i/>
              </w:rPr>
              <w:t>Journal of Geriatric Oncology</w:t>
            </w:r>
          </w:p>
        </w:tc>
      </w:tr>
      <w:tr w:rsidR="00B267C1" w:rsidRPr="00476ECB" w14:paraId="044E0738" w14:textId="77777777">
        <w:tc>
          <w:tcPr>
            <w:tcW w:w="1530" w:type="dxa"/>
            <w:tcMar>
              <w:top w:w="15" w:type="dxa"/>
              <w:left w:w="15" w:type="dxa"/>
              <w:bottom w:w="15" w:type="dxa"/>
              <w:right w:w="15" w:type="dxa"/>
            </w:tcMar>
          </w:tcPr>
          <w:p w14:paraId="19ECC47D" w14:textId="4CEC905E" w:rsidR="00B267C1" w:rsidRDefault="00B267C1" w:rsidP="002C391D">
            <w:pPr>
              <w:widowControl w:val="0"/>
            </w:pPr>
            <w:r>
              <w:t xml:space="preserve">2019 - </w:t>
            </w:r>
          </w:p>
        </w:tc>
        <w:tc>
          <w:tcPr>
            <w:tcW w:w="0" w:type="auto"/>
            <w:tcMar>
              <w:top w:w="15" w:type="dxa"/>
              <w:left w:w="15" w:type="dxa"/>
              <w:bottom w:w="15" w:type="dxa"/>
              <w:right w:w="15" w:type="dxa"/>
            </w:tcMar>
          </w:tcPr>
          <w:p w14:paraId="2B3AA80F" w14:textId="2806AA28" w:rsidR="00B267C1" w:rsidRDefault="00B267C1" w:rsidP="002C391D">
            <w:pPr>
              <w:widowControl w:val="0"/>
            </w:pPr>
            <w:r>
              <w:t xml:space="preserve">Associate Editor, </w:t>
            </w:r>
            <w:r w:rsidRPr="00B267C1">
              <w:rPr>
                <w:i/>
                <w:iCs/>
              </w:rPr>
              <w:t>Pharmacoepidemiology and Drug Safety</w:t>
            </w:r>
          </w:p>
        </w:tc>
      </w:tr>
    </w:tbl>
    <w:p w14:paraId="33942260" w14:textId="77777777" w:rsidR="00CC00F8" w:rsidRPr="00476ECB" w:rsidRDefault="000277EC" w:rsidP="002C391D">
      <w:pPr>
        <w:pStyle w:val="h3underline"/>
        <w:widowControl w:val="0"/>
        <w:rPr>
          <w:sz w:val="22"/>
          <w:szCs w:val="22"/>
        </w:rPr>
      </w:pPr>
      <w:r w:rsidRPr="00476ECB">
        <w:rPr>
          <w:rFonts w:ascii="Arial" w:eastAsia="Arial" w:hAnsi="Arial" w:cs="Arial"/>
          <w:sz w:val="22"/>
          <w:szCs w:val="22"/>
        </w:rPr>
        <w:t>Honors</w:t>
      </w:r>
    </w:p>
    <w:tbl>
      <w:tblPr>
        <w:tblStyle w:val="table"/>
        <w:tblW w:w="5000" w:type="pct"/>
        <w:tblInd w:w="15" w:type="dxa"/>
        <w:tblBorders>
          <w:top w:val="nil"/>
          <w:left w:val="nil"/>
          <w:bottom w:val="nil"/>
          <w:right w:val="nil"/>
          <w:insideH w:val="nil"/>
          <w:insideV w:val="nil"/>
        </w:tblBorders>
        <w:tblCellMar>
          <w:top w:w="15" w:type="dxa"/>
          <w:left w:w="15" w:type="dxa"/>
          <w:bottom w:w="15" w:type="dxa"/>
          <w:right w:w="15" w:type="dxa"/>
        </w:tblCellMar>
        <w:tblLook w:val="04A0" w:firstRow="1" w:lastRow="0" w:firstColumn="1" w:lastColumn="0" w:noHBand="0" w:noVBand="1"/>
      </w:tblPr>
      <w:tblGrid>
        <w:gridCol w:w="1530"/>
        <w:gridCol w:w="9270"/>
      </w:tblGrid>
      <w:tr w:rsidR="00CC00F8" w:rsidRPr="00476ECB" w14:paraId="0403A08D" w14:textId="77777777">
        <w:tc>
          <w:tcPr>
            <w:tcW w:w="1530" w:type="dxa"/>
            <w:tcMar>
              <w:top w:w="15" w:type="dxa"/>
              <w:left w:w="15" w:type="dxa"/>
              <w:bottom w:w="15" w:type="dxa"/>
              <w:right w:w="15" w:type="dxa"/>
            </w:tcMar>
          </w:tcPr>
          <w:p w14:paraId="54F77EBC" w14:textId="77777777" w:rsidR="00CC00F8" w:rsidRPr="00476ECB" w:rsidRDefault="000277EC" w:rsidP="002C391D">
            <w:pPr>
              <w:widowControl w:val="0"/>
            </w:pPr>
            <w:r w:rsidRPr="00476ECB">
              <w:t>2003</w:t>
            </w:r>
          </w:p>
        </w:tc>
        <w:tc>
          <w:tcPr>
            <w:tcW w:w="0" w:type="auto"/>
            <w:tcMar>
              <w:top w:w="15" w:type="dxa"/>
              <w:left w:w="15" w:type="dxa"/>
              <w:bottom w:w="15" w:type="dxa"/>
              <w:right w:w="15" w:type="dxa"/>
            </w:tcMar>
          </w:tcPr>
          <w:p w14:paraId="35C5E58A" w14:textId="77777777" w:rsidR="00CC00F8" w:rsidRPr="00476ECB" w:rsidRDefault="000277EC" w:rsidP="002C391D">
            <w:pPr>
              <w:widowControl w:val="0"/>
            </w:pPr>
            <w:r w:rsidRPr="00476ECB">
              <w:t>Graduated summa cum laude, Tufts University</w:t>
            </w:r>
          </w:p>
        </w:tc>
      </w:tr>
      <w:tr w:rsidR="00CC00F8" w:rsidRPr="00476ECB" w14:paraId="40CF3E5D" w14:textId="77777777">
        <w:tc>
          <w:tcPr>
            <w:tcW w:w="1530" w:type="dxa"/>
            <w:tcMar>
              <w:top w:w="15" w:type="dxa"/>
              <w:left w:w="15" w:type="dxa"/>
              <w:bottom w:w="15" w:type="dxa"/>
              <w:right w:w="15" w:type="dxa"/>
            </w:tcMar>
          </w:tcPr>
          <w:p w14:paraId="1A32E44B" w14:textId="77777777" w:rsidR="00CC00F8" w:rsidRPr="00476ECB" w:rsidRDefault="000277EC" w:rsidP="002C391D">
            <w:pPr>
              <w:widowControl w:val="0"/>
            </w:pPr>
            <w:r w:rsidRPr="00476ECB">
              <w:t>2003</w:t>
            </w:r>
          </w:p>
        </w:tc>
        <w:tc>
          <w:tcPr>
            <w:tcW w:w="0" w:type="auto"/>
            <w:tcMar>
              <w:top w:w="15" w:type="dxa"/>
              <w:left w:w="15" w:type="dxa"/>
              <w:bottom w:w="15" w:type="dxa"/>
              <w:right w:w="15" w:type="dxa"/>
            </w:tcMar>
          </w:tcPr>
          <w:p w14:paraId="2D6CC506" w14:textId="77777777" w:rsidR="00CC00F8" w:rsidRPr="00476ECB" w:rsidRDefault="000277EC" w:rsidP="002C391D">
            <w:pPr>
              <w:widowControl w:val="0"/>
            </w:pPr>
            <w:r w:rsidRPr="00476ECB">
              <w:t>Audrey L. Hale Prize recipient, Tufts University</w:t>
            </w:r>
          </w:p>
        </w:tc>
      </w:tr>
      <w:tr w:rsidR="00CC00F8" w:rsidRPr="00476ECB" w14:paraId="5F6AB635" w14:textId="77777777">
        <w:tc>
          <w:tcPr>
            <w:tcW w:w="1530" w:type="dxa"/>
            <w:tcMar>
              <w:top w:w="15" w:type="dxa"/>
              <w:left w:w="15" w:type="dxa"/>
              <w:bottom w:w="15" w:type="dxa"/>
              <w:right w:w="15" w:type="dxa"/>
            </w:tcMar>
          </w:tcPr>
          <w:p w14:paraId="69983EB0" w14:textId="77777777" w:rsidR="00CC00F8" w:rsidRPr="00476ECB" w:rsidRDefault="000277EC" w:rsidP="002C391D">
            <w:pPr>
              <w:widowControl w:val="0"/>
            </w:pPr>
            <w:r w:rsidRPr="00476ECB">
              <w:t>2008</w:t>
            </w:r>
          </w:p>
        </w:tc>
        <w:tc>
          <w:tcPr>
            <w:tcW w:w="0" w:type="auto"/>
            <w:tcMar>
              <w:top w:w="15" w:type="dxa"/>
              <w:left w:w="15" w:type="dxa"/>
              <w:bottom w:w="15" w:type="dxa"/>
              <w:right w:w="15" w:type="dxa"/>
            </w:tcMar>
          </w:tcPr>
          <w:p w14:paraId="10A9DC07" w14:textId="77777777" w:rsidR="00CC00F8" w:rsidRPr="00476ECB" w:rsidRDefault="000277EC" w:rsidP="002C391D">
            <w:pPr>
              <w:widowControl w:val="0"/>
            </w:pPr>
            <w:r w:rsidRPr="00476ECB">
              <w:t>Methodologies in Healthcare Outcomes in Gastroenterology Trainee Scholarship Recipient, Gastr</w:t>
            </w:r>
            <w:r w:rsidR="004B6FB7">
              <w:t>oenterology Research Group</w:t>
            </w:r>
            <w:r w:rsidRPr="00476ECB">
              <w:t xml:space="preserve"> and the American Gastr</w:t>
            </w:r>
            <w:r w:rsidR="004B6FB7">
              <w:t>oenterological Association</w:t>
            </w:r>
          </w:p>
        </w:tc>
      </w:tr>
      <w:tr w:rsidR="00CC00F8" w:rsidRPr="00476ECB" w14:paraId="4E501B46" w14:textId="77777777">
        <w:tc>
          <w:tcPr>
            <w:tcW w:w="1530" w:type="dxa"/>
            <w:tcMar>
              <w:top w:w="15" w:type="dxa"/>
              <w:left w:w="15" w:type="dxa"/>
              <w:bottom w:w="15" w:type="dxa"/>
              <w:right w:w="15" w:type="dxa"/>
            </w:tcMar>
          </w:tcPr>
          <w:p w14:paraId="1BDCFBE7" w14:textId="77777777" w:rsidR="00CC00F8" w:rsidRPr="00476ECB" w:rsidRDefault="000277EC" w:rsidP="002C391D">
            <w:pPr>
              <w:widowControl w:val="0"/>
            </w:pPr>
            <w:r w:rsidRPr="00476ECB">
              <w:t>2010</w:t>
            </w:r>
          </w:p>
        </w:tc>
        <w:tc>
          <w:tcPr>
            <w:tcW w:w="0" w:type="auto"/>
            <w:tcMar>
              <w:top w:w="15" w:type="dxa"/>
              <w:left w:w="15" w:type="dxa"/>
              <w:bottom w:w="15" w:type="dxa"/>
              <w:right w:w="15" w:type="dxa"/>
            </w:tcMar>
          </w:tcPr>
          <w:p w14:paraId="07B88EEF" w14:textId="77777777" w:rsidR="00CC00F8" w:rsidRPr="00476ECB" w:rsidRDefault="000277EC" w:rsidP="002C391D">
            <w:pPr>
              <w:widowControl w:val="0"/>
            </w:pPr>
            <w:r w:rsidRPr="00476ECB">
              <w:t>Scholarship Recipient, 26th Annual Meeting for the International Society for Pharmacoepidemiology</w:t>
            </w:r>
          </w:p>
        </w:tc>
      </w:tr>
      <w:tr w:rsidR="00CC00F8" w:rsidRPr="00476ECB" w14:paraId="66A0F9E3" w14:textId="77777777">
        <w:tc>
          <w:tcPr>
            <w:tcW w:w="1530" w:type="dxa"/>
            <w:tcMar>
              <w:top w:w="15" w:type="dxa"/>
              <w:left w:w="15" w:type="dxa"/>
              <w:bottom w:w="15" w:type="dxa"/>
              <w:right w:w="15" w:type="dxa"/>
            </w:tcMar>
          </w:tcPr>
          <w:p w14:paraId="72332BF6" w14:textId="77777777" w:rsidR="00CC00F8" w:rsidRPr="00476ECB" w:rsidRDefault="000277EC" w:rsidP="002C391D">
            <w:pPr>
              <w:widowControl w:val="0"/>
            </w:pPr>
            <w:r w:rsidRPr="00476ECB">
              <w:t>2011</w:t>
            </w:r>
          </w:p>
        </w:tc>
        <w:tc>
          <w:tcPr>
            <w:tcW w:w="0" w:type="auto"/>
            <w:tcMar>
              <w:top w:w="15" w:type="dxa"/>
              <w:left w:w="15" w:type="dxa"/>
              <w:bottom w:w="15" w:type="dxa"/>
              <w:right w:w="15" w:type="dxa"/>
            </w:tcMar>
          </w:tcPr>
          <w:p w14:paraId="302A6CE9" w14:textId="77777777" w:rsidR="00CC00F8" w:rsidRPr="00476ECB" w:rsidRDefault="000277EC" w:rsidP="002C391D">
            <w:pPr>
              <w:widowControl w:val="0"/>
            </w:pPr>
            <w:r w:rsidRPr="00476ECB">
              <w:t>Student Dissertation Workshop Participant, Society for Epidemiologic Research, 3rd Annual North American Congress of Epidemiology</w:t>
            </w:r>
          </w:p>
        </w:tc>
      </w:tr>
      <w:tr w:rsidR="00CC00F8" w:rsidRPr="00476ECB" w14:paraId="33AB8C2E" w14:textId="77777777">
        <w:tc>
          <w:tcPr>
            <w:tcW w:w="1530" w:type="dxa"/>
            <w:tcMar>
              <w:top w:w="15" w:type="dxa"/>
              <w:left w:w="15" w:type="dxa"/>
              <w:bottom w:w="15" w:type="dxa"/>
              <w:right w:w="15" w:type="dxa"/>
            </w:tcMar>
          </w:tcPr>
          <w:p w14:paraId="489F7219" w14:textId="77777777" w:rsidR="00CC00F8" w:rsidRPr="00476ECB" w:rsidRDefault="000277EC" w:rsidP="002C391D">
            <w:pPr>
              <w:widowControl w:val="0"/>
            </w:pPr>
            <w:r w:rsidRPr="00476ECB">
              <w:t>2011</w:t>
            </w:r>
          </w:p>
        </w:tc>
        <w:tc>
          <w:tcPr>
            <w:tcW w:w="0" w:type="auto"/>
            <w:tcMar>
              <w:top w:w="15" w:type="dxa"/>
              <w:left w:w="15" w:type="dxa"/>
              <w:bottom w:w="15" w:type="dxa"/>
              <w:right w:w="15" w:type="dxa"/>
            </w:tcMar>
          </w:tcPr>
          <w:p w14:paraId="27E913DB" w14:textId="77777777" w:rsidR="00CC00F8" w:rsidRPr="00476ECB" w:rsidRDefault="000277EC" w:rsidP="002C391D">
            <w:pPr>
              <w:widowControl w:val="0"/>
            </w:pPr>
            <w:r w:rsidRPr="00476ECB">
              <w:t>Student Travel Scholarship Award Recipient, Society for Epidemiologic Research, 3rd Annual North American Congress of Epidemiology</w:t>
            </w:r>
          </w:p>
        </w:tc>
      </w:tr>
      <w:tr w:rsidR="00CC00F8" w:rsidRPr="00476ECB" w14:paraId="433AC6C3" w14:textId="77777777">
        <w:tc>
          <w:tcPr>
            <w:tcW w:w="1530" w:type="dxa"/>
            <w:tcMar>
              <w:top w:w="15" w:type="dxa"/>
              <w:left w:w="15" w:type="dxa"/>
              <w:bottom w:w="15" w:type="dxa"/>
              <w:right w:w="15" w:type="dxa"/>
            </w:tcMar>
          </w:tcPr>
          <w:p w14:paraId="572D8F76" w14:textId="77777777" w:rsidR="00CC00F8" w:rsidRPr="00476ECB" w:rsidRDefault="000277EC" w:rsidP="002C391D">
            <w:pPr>
              <w:widowControl w:val="0"/>
            </w:pPr>
            <w:r w:rsidRPr="00476ECB">
              <w:t>2012</w:t>
            </w:r>
          </w:p>
        </w:tc>
        <w:tc>
          <w:tcPr>
            <w:tcW w:w="0" w:type="auto"/>
            <w:tcMar>
              <w:top w:w="15" w:type="dxa"/>
              <w:left w:w="15" w:type="dxa"/>
              <w:bottom w:w="15" w:type="dxa"/>
              <w:right w:w="15" w:type="dxa"/>
            </w:tcMar>
          </w:tcPr>
          <w:p w14:paraId="09E5780A" w14:textId="77777777" w:rsidR="00CC00F8" w:rsidRPr="00476ECB" w:rsidRDefault="000277EC" w:rsidP="002C391D">
            <w:pPr>
              <w:widowControl w:val="0"/>
            </w:pPr>
            <w:r w:rsidRPr="00476ECB">
              <w:t>Delta Omega Honor Society Member, Theta Chapter, UNC-Chapel Hill</w:t>
            </w:r>
          </w:p>
        </w:tc>
      </w:tr>
      <w:tr w:rsidR="00CC00F8" w:rsidRPr="00476ECB" w14:paraId="0DCAE764" w14:textId="77777777">
        <w:tc>
          <w:tcPr>
            <w:tcW w:w="1530" w:type="dxa"/>
            <w:tcMar>
              <w:top w:w="15" w:type="dxa"/>
              <w:left w:w="15" w:type="dxa"/>
              <w:bottom w:w="15" w:type="dxa"/>
              <w:right w:w="15" w:type="dxa"/>
            </w:tcMar>
          </w:tcPr>
          <w:p w14:paraId="40E80A58" w14:textId="77777777" w:rsidR="00CC00F8" w:rsidRPr="00476ECB" w:rsidRDefault="000277EC" w:rsidP="002C391D">
            <w:pPr>
              <w:widowControl w:val="0"/>
            </w:pPr>
            <w:r w:rsidRPr="00476ECB">
              <w:t>2013</w:t>
            </w:r>
          </w:p>
        </w:tc>
        <w:tc>
          <w:tcPr>
            <w:tcW w:w="0" w:type="auto"/>
            <w:tcMar>
              <w:top w:w="15" w:type="dxa"/>
              <w:left w:w="15" w:type="dxa"/>
              <w:bottom w:w="15" w:type="dxa"/>
              <w:right w:w="15" w:type="dxa"/>
            </w:tcMar>
          </w:tcPr>
          <w:p w14:paraId="20E1B434" w14:textId="77777777" w:rsidR="00CC00F8" w:rsidRPr="00476ECB" w:rsidRDefault="000277EC" w:rsidP="002C391D">
            <w:pPr>
              <w:widowControl w:val="0"/>
            </w:pPr>
            <w:r w:rsidRPr="00476ECB">
              <w:t>Abstract Achievement Award winner, American Society of Hematology</w:t>
            </w:r>
          </w:p>
        </w:tc>
      </w:tr>
      <w:tr w:rsidR="00CC00F8" w:rsidRPr="00476ECB" w14:paraId="74701505" w14:textId="77777777">
        <w:tc>
          <w:tcPr>
            <w:tcW w:w="1530" w:type="dxa"/>
            <w:tcMar>
              <w:top w:w="15" w:type="dxa"/>
              <w:left w:w="15" w:type="dxa"/>
              <w:bottom w:w="15" w:type="dxa"/>
              <w:right w:w="15" w:type="dxa"/>
            </w:tcMar>
          </w:tcPr>
          <w:p w14:paraId="3C1B9928" w14:textId="77777777" w:rsidR="00CC00F8" w:rsidRPr="00476ECB" w:rsidRDefault="000277EC" w:rsidP="002C391D">
            <w:pPr>
              <w:widowControl w:val="0"/>
            </w:pPr>
            <w:r w:rsidRPr="00476ECB">
              <w:t>2015</w:t>
            </w:r>
          </w:p>
        </w:tc>
        <w:tc>
          <w:tcPr>
            <w:tcW w:w="0" w:type="auto"/>
            <w:tcMar>
              <w:top w:w="15" w:type="dxa"/>
              <w:left w:w="15" w:type="dxa"/>
              <w:bottom w:w="15" w:type="dxa"/>
              <w:right w:w="15" w:type="dxa"/>
            </w:tcMar>
          </w:tcPr>
          <w:p w14:paraId="09CF655B" w14:textId="77777777" w:rsidR="00CC00F8" w:rsidRPr="00476ECB" w:rsidRDefault="000277EC" w:rsidP="002C391D">
            <w:pPr>
              <w:widowControl w:val="0"/>
            </w:pPr>
            <w:r w:rsidRPr="00476ECB">
              <w:t xml:space="preserve">Gordon H. </w:t>
            </w:r>
            <w:proofErr w:type="spellStart"/>
            <w:r w:rsidRPr="00476ECB">
              <w:t>DeFriese</w:t>
            </w:r>
            <w:proofErr w:type="spellEnd"/>
            <w:r w:rsidRPr="00476ECB">
              <w:t xml:space="preserve"> Career Development in Aging Research Award, UNC-Chapel Hill</w:t>
            </w:r>
          </w:p>
        </w:tc>
      </w:tr>
    </w:tbl>
    <w:p w14:paraId="0AE34D2B" w14:textId="77777777" w:rsidR="00CC00F8" w:rsidRPr="00476ECB" w:rsidRDefault="000277EC" w:rsidP="002C391D">
      <w:pPr>
        <w:pStyle w:val="Heading3"/>
        <w:widowControl w:val="0"/>
        <w:rPr>
          <w:sz w:val="22"/>
          <w:szCs w:val="22"/>
        </w:rPr>
      </w:pPr>
      <w:r w:rsidRPr="00476ECB">
        <w:rPr>
          <w:rFonts w:ascii="Arial" w:eastAsia="Arial" w:hAnsi="Arial" w:cs="Arial"/>
          <w:sz w:val="22"/>
          <w:szCs w:val="22"/>
        </w:rPr>
        <w:t>C. Contribution to Science</w:t>
      </w:r>
    </w:p>
    <w:p w14:paraId="4D1410E9" w14:textId="77777777" w:rsidR="007D1D32" w:rsidRDefault="00CC7C64" w:rsidP="007D1D32">
      <w:pPr>
        <w:pStyle w:val="citationUlliParagraph"/>
        <w:widowControl w:val="0"/>
        <w:numPr>
          <w:ilvl w:val="0"/>
          <w:numId w:val="2"/>
        </w:numPr>
        <w:tabs>
          <w:tab w:val="clear" w:pos="720"/>
          <w:tab w:val="num" w:pos="360"/>
        </w:tabs>
        <w:spacing w:before="240"/>
        <w:ind w:left="360"/>
      </w:pPr>
      <w:r>
        <w:rPr>
          <w:u w:val="single"/>
        </w:rPr>
        <w:t>Using the Geriatric A</w:t>
      </w:r>
      <w:r w:rsidR="009A21C7" w:rsidRPr="00CC7C64">
        <w:rPr>
          <w:u w:val="single"/>
        </w:rPr>
        <w:t xml:space="preserve">ssessment </w:t>
      </w:r>
      <w:r w:rsidR="003E13F2" w:rsidRPr="00CC7C64">
        <w:rPr>
          <w:u w:val="single"/>
        </w:rPr>
        <w:t xml:space="preserve">(GA) </w:t>
      </w:r>
      <w:r>
        <w:rPr>
          <w:u w:val="single"/>
        </w:rPr>
        <w:t>to Understand Prognosis and Outcomes in Older Adults with C</w:t>
      </w:r>
      <w:r w:rsidR="009A21C7" w:rsidRPr="00CC7C64">
        <w:rPr>
          <w:u w:val="single"/>
        </w:rPr>
        <w:t>ancer</w:t>
      </w:r>
      <w:r w:rsidR="000148D8" w:rsidRPr="00CC7C64">
        <w:rPr>
          <w:u w:val="single"/>
        </w:rPr>
        <w:t>.</w:t>
      </w:r>
      <w:r w:rsidR="000148D8">
        <w:t xml:space="preserve"> </w:t>
      </w:r>
      <w:r w:rsidR="000148D8" w:rsidRPr="000148D8">
        <w:t xml:space="preserve">Aging is a heterogeneous process, and in turn, chronological age is often a poor proxy for physiologic and cognitive status. The </w:t>
      </w:r>
      <w:r w:rsidR="003E13F2">
        <w:t>GA</w:t>
      </w:r>
      <w:r w:rsidR="000148D8" w:rsidRPr="000148D8">
        <w:t>, a multidimensional evaluation of comorbidity, functional status, cognitive status, psychological status, nutritional status, polypharmacy, and social support, can be used to identify age-related problems not typically uncovered using traditional clinical assessments. In oncology, the GA has been adapted for the busy clinic setting and is increasingly used for both research and clinical purposes. While the GA has been used to predict chemotherapy toxicity in older adults, further efforts to use the GA to understand prognosis and other clinical outcomes of interest are warranted.</w:t>
      </w:r>
      <w:r w:rsidR="009A21C7">
        <w:t xml:space="preserve"> Efforts to increase data linkage and </w:t>
      </w:r>
      <w:r w:rsidR="003E13F2">
        <w:t>apply</w:t>
      </w:r>
      <w:r w:rsidR="009A21C7">
        <w:t xml:space="preserve"> predictive analytics </w:t>
      </w:r>
      <w:r w:rsidR="003E13F2">
        <w:t>represent promising avenues for future research</w:t>
      </w:r>
      <w:r w:rsidR="009A21C7">
        <w:t xml:space="preserve">. </w:t>
      </w:r>
    </w:p>
    <w:p w14:paraId="15D98D85" w14:textId="77777777" w:rsidR="007D1D32" w:rsidRDefault="000E624C" w:rsidP="00CC7C64">
      <w:pPr>
        <w:pStyle w:val="citationUlliParagraph"/>
        <w:widowControl w:val="0"/>
        <w:numPr>
          <w:ilvl w:val="0"/>
          <w:numId w:val="8"/>
        </w:numPr>
        <w:tabs>
          <w:tab w:val="clear" w:pos="1080"/>
        </w:tabs>
      </w:pPr>
      <w:r w:rsidRPr="007D1D32">
        <w:t>Lund JL,</w:t>
      </w:r>
      <w:r w:rsidRPr="007D1D32">
        <w:rPr>
          <w:b/>
        </w:rPr>
        <w:t xml:space="preserve"> </w:t>
      </w:r>
      <w:r w:rsidRPr="007D1D32">
        <w:t xml:space="preserve">Meyer AM, Deal AM, Choi BJ, Chang Y, Williams GR, Pergolotti M, Guerard EJ, Muss HB, Sanoff HK. Data Linkage to Improve Geriatric Oncology Research: A Feasibility Study. </w:t>
      </w:r>
      <w:r w:rsidR="00DA7F2E" w:rsidRPr="007D1D32">
        <w:t xml:space="preserve">The </w:t>
      </w:r>
      <w:r w:rsidRPr="007D1D32">
        <w:t>Oncologist. 2017;</w:t>
      </w:r>
      <w:r w:rsidR="00CC7C64">
        <w:t xml:space="preserve"> </w:t>
      </w:r>
      <w:r w:rsidRPr="007D1D32">
        <w:t xml:space="preserve">22(8):1002-1005. </w:t>
      </w:r>
      <w:r w:rsidR="00D90FCE">
        <w:t xml:space="preserve">PMID: 28408619, </w:t>
      </w:r>
      <w:r w:rsidRPr="007D1D32">
        <w:t>PMCID:</w:t>
      </w:r>
      <w:r w:rsidRPr="007D1D32">
        <w:rPr>
          <w:color w:val="0000EE"/>
        </w:rPr>
        <w:t xml:space="preserve"> </w:t>
      </w:r>
      <w:r w:rsidRPr="007D1D32">
        <w:t>PMC5553948.</w:t>
      </w:r>
    </w:p>
    <w:p w14:paraId="5616D6BF" w14:textId="77777777" w:rsidR="007D1D32" w:rsidRDefault="005E4BF7" w:rsidP="00CC7C64">
      <w:pPr>
        <w:pStyle w:val="citationUlliParagraph"/>
        <w:widowControl w:val="0"/>
        <w:numPr>
          <w:ilvl w:val="0"/>
          <w:numId w:val="8"/>
        </w:numPr>
        <w:tabs>
          <w:tab w:val="clear" w:pos="1080"/>
        </w:tabs>
      </w:pPr>
      <w:r w:rsidRPr="005E4BF7">
        <w:lastRenderedPageBreak/>
        <w:t xml:space="preserve">Guerard EJ, Deal AM, Chang YK, Williams GR, Nyrop KA, Pergolotti M, Muss HB, Sanoff HK, </w:t>
      </w:r>
      <w:r w:rsidRPr="007A5265">
        <w:t>Lund JL</w:t>
      </w:r>
      <w:r w:rsidRPr="005E4BF7">
        <w:t>. Frailty Index Developed from a Cancer-Specific Geriatric Assessment and the Association with Mortality among Older Adults with Cancer. Journal of the National Comprehensive Cancer Network. 2017 Jul;</w:t>
      </w:r>
      <w:r w:rsidR="00CC7C64">
        <w:t xml:space="preserve"> </w:t>
      </w:r>
      <w:r w:rsidRPr="005E4BF7">
        <w:t>15(7):894-902.</w:t>
      </w:r>
      <w:r w:rsidRPr="007B32D8">
        <w:t xml:space="preserve"> </w:t>
      </w:r>
      <w:r w:rsidRPr="005E4BF7">
        <w:t xml:space="preserve">PMID: </w:t>
      </w:r>
      <w:r w:rsidRPr="007A5265">
        <w:t xml:space="preserve">28687577. </w:t>
      </w:r>
    </w:p>
    <w:p w14:paraId="45393667" w14:textId="77777777" w:rsidR="007D1D32" w:rsidRDefault="000148D8" w:rsidP="00CC7C64">
      <w:pPr>
        <w:pStyle w:val="citationUlliParagraph"/>
        <w:widowControl w:val="0"/>
        <w:numPr>
          <w:ilvl w:val="0"/>
          <w:numId w:val="8"/>
        </w:numPr>
        <w:tabs>
          <w:tab w:val="clear" w:pos="1080"/>
        </w:tabs>
      </w:pPr>
      <w:r>
        <w:t xml:space="preserve">Nishijima TF, Deal AM, </w:t>
      </w:r>
      <w:r w:rsidRPr="007A5265">
        <w:t>Lund JL</w:t>
      </w:r>
      <w:r>
        <w:t>, Nyrop KA, Mu</w:t>
      </w:r>
      <w:r w:rsidR="00CC7C64">
        <w:t>ss HB, Sanoff HK. Inflammatory Markers and Overall Survival in Older Adults with C</w:t>
      </w:r>
      <w:r>
        <w:t>ancer. J Geriatr</w:t>
      </w:r>
      <w:r w:rsidR="00DA7F2E">
        <w:t>ic</w:t>
      </w:r>
      <w:r>
        <w:t xml:space="preserve"> Oncol</w:t>
      </w:r>
      <w:r w:rsidR="00DA7F2E">
        <w:t>ogy</w:t>
      </w:r>
      <w:r>
        <w:t>. 2018.</w:t>
      </w:r>
      <w:r w:rsidR="000E624C">
        <w:t xml:space="preserve"> </w:t>
      </w:r>
      <w:r w:rsidR="000E624C" w:rsidRPr="000E624C">
        <w:t xml:space="preserve">PMID: </w:t>
      </w:r>
      <w:r w:rsidR="000E624C" w:rsidRPr="007A5265">
        <w:t>30131235.</w:t>
      </w:r>
    </w:p>
    <w:p w14:paraId="3EE8DF2A" w14:textId="180CEA5C" w:rsidR="000148D8" w:rsidRPr="000148D8" w:rsidRDefault="000148D8" w:rsidP="00CC7C64">
      <w:pPr>
        <w:pStyle w:val="citationUlliParagraph"/>
        <w:widowControl w:val="0"/>
        <w:numPr>
          <w:ilvl w:val="0"/>
          <w:numId w:val="8"/>
        </w:numPr>
        <w:tabs>
          <w:tab w:val="clear" w:pos="1080"/>
        </w:tabs>
      </w:pPr>
      <w:r>
        <w:t xml:space="preserve">Williams GR, </w:t>
      </w:r>
      <w:r w:rsidR="009A21C7" w:rsidRPr="009A21C7">
        <w:t>Dunham</w:t>
      </w:r>
      <w:r w:rsidR="009A21C7">
        <w:t xml:space="preserve"> L</w:t>
      </w:r>
      <w:r w:rsidR="009A21C7" w:rsidRPr="009A21C7">
        <w:t>, Chang</w:t>
      </w:r>
      <w:r w:rsidR="009A21C7">
        <w:t xml:space="preserve"> Y</w:t>
      </w:r>
      <w:r w:rsidR="009A21C7" w:rsidRPr="009A21C7">
        <w:t>, Deal</w:t>
      </w:r>
      <w:r w:rsidR="009A21C7">
        <w:t xml:space="preserve"> AM</w:t>
      </w:r>
      <w:r w:rsidR="009A21C7" w:rsidRPr="009A21C7">
        <w:t xml:space="preserve">, </w:t>
      </w:r>
      <w:r w:rsidR="009A21C7">
        <w:t>P</w:t>
      </w:r>
      <w:r w:rsidR="009A21C7" w:rsidRPr="009A21C7">
        <w:t>ergolotti</w:t>
      </w:r>
      <w:r w:rsidR="009A21C7">
        <w:t xml:space="preserve"> M</w:t>
      </w:r>
      <w:r w:rsidR="009A21C7" w:rsidRPr="009A21C7">
        <w:t xml:space="preserve">, </w:t>
      </w:r>
      <w:r w:rsidR="009A21C7" w:rsidRPr="007A5265">
        <w:t>Lund JL</w:t>
      </w:r>
      <w:r w:rsidR="009A21C7" w:rsidRPr="009A21C7">
        <w:t>, Guerard</w:t>
      </w:r>
      <w:r w:rsidR="009A21C7">
        <w:t xml:space="preserve"> E</w:t>
      </w:r>
      <w:r w:rsidR="009A21C7" w:rsidRPr="009A21C7">
        <w:t xml:space="preserve">, </w:t>
      </w:r>
      <w:proofErr w:type="spellStart"/>
      <w:r w:rsidR="009A21C7" w:rsidRPr="009A21C7">
        <w:t>Kenzik</w:t>
      </w:r>
      <w:proofErr w:type="spellEnd"/>
      <w:r w:rsidR="009A21C7">
        <w:t xml:space="preserve"> K</w:t>
      </w:r>
      <w:r w:rsidR="009A21C7" w:rsidRPr="009A21C7">
        <w:t>, Muss</w:t>
      </w:r>
      <w:r w:rsidR="009A21C7">
        <w:t xml:space="preserve"> HB</w:t>
      </w:r>
      <w:r w:rsidR="009A21C7" w:rsidRPr="009A21C7">
        <w:t>, Sanoff</w:t>
      </w:r>
      <w:r w:rsidR="009A21C7">
        <w:t xml:space="preserve"> HK. </w:t>
      </w:r>
      <w:r w:rsidR="009A21C7" w:rsidRPr="009A21C7">
        <w:t>Geriatric Assessment Predicts Hospitalization Frequency and Long-Term Care Utilization in Older Adult Cancer Survivors</w:t>
      </w:r>
      <w:r>
        <w:t xml:space="preserve">. </w:t>
      </w:r>
      <w:r w:rsidR="009A21C7">
        <w:t xml:space="preserve">Journal of Oncology Practice </w:t>
      </w:r>
      <w:r w:rsidR="00B267C1" w:rsidRPr="00B267C1">
        <w:t>2019 May;15(5</w:t>
      </w:r>
      <w:proofErr w:type="gramStart"/>
      <w:r w:rsidR="00B267C1" w:rsidRPr="00B267C1">
        <w:t>):e</w:t>
      </w:r>
      <w:proofErr w:type="gramEnd"/>
      <w:r w:rsidR="00B267C1" w:rsidRPr="00B267C1">
        <w:t>399-e409</w:t>
      </w:r>
      <w:r w:rsidR="009A21C7">
        <w:t xml:space="preserve">. </w:t>
      </w:r>
    </w:p>
    <w:p w14:paraId="06C62E9F" w14:textId="77777777" w:rsidR="00CC00F8" w:rsidRPr="0043387F" w:rsidRDefault="00E255A3" w:rsidP="002C391D">
      <w:pPr>
        <w:pStyle w:val="citationUlliParagraph"/>
        <w:widowControl w:val="0"/>
        <w:numPr>
          <w:ilvl w:val="0"/>
          <w:numId w:val="2"/>
        </w:numPr>
        <w:tabs>
          <w:tab w:val="clear" w:pos="720"/>
          <w:tab w:val="num" w:pos="360"/>
        </w:tabs>
        <w:spacing w:before="240"/>
        <w:ind w:left="360"/>
      </w:pPr>
      <w:r w:rsidRPr="00CC7C64">
        <w:rPr>
          <w:u w:val="single"/>
        </w:rPr>
        <w:t>Assessing</w:t>
      </w:r>
      <w:r w:rsidR="00CC7C64">
        <w:rPr>
          <w:u w:val="single"/>
        </w:rPr>
        <w:t xml:space="preserve"> P</w:t>
      </w:r>
      <w:r w:rsidR="000277EC" w:rsidRPr="00CC7C64">
        <w:rPr>
          <w:u w:val="single"/>
        </w:rPr>
        <w:t xml:space="preserve">atterns of </w:t>
      </w:r>
      <w:r w:rsidR="00CC7C64">
        <w:rPr>
          <w:u w:val="single"/>
        </w:rPr>
        <w:t>Care among Cancer Patients Treated in Routine Practice S</w:t>
      </w:r>
      <w:r w:rsidR="0043387F" w:rsidRPr="00CC7C64">
        <w:rPr>
          <w:u w:val="single"/>
        </w:rPr>
        <w:t>ettings</w:t>
      </w:r>
      <w:r w:rsidR="000277EC" w:rsidRPr="00CC7C64">
        <w:rPr>
          <w:u w:val="single"/>
        </w:rPr>
        <w:t>.</w:t>
      </w:r>
      <w:r w:rsidR="000277EC" w:rsidRPr="00476ECB">
        <w:t xml:space="preserve"> </w:t>
      </w:r>
      <w:r w:rsidR="0043387F">
        <w:t>Cancer-specific mortality</w:t>
      </w:r>
      <w:r w:rsidR="000277EC" w:rsidRPr="00476ECB">
        <w:t xml:space="preserve"> </w:t>
      </w:r>
      <w:r w:rsidR="0043387F">
        <w:t xml:space="preserve">for many different cancer </w:t>
      </w:r>
      <w:r w:rsidR="00C779A3">
        <w:t>types</w:t>
      </w:r>
      <w:r w:rsidR="0043387F">
        <w:t xml:space="preserve"> have</w:t>
      </w:r>
      <w:r w:rsidR="000277EC" w:rsidRPr="00476ECB">
        <w:t xml:space="preserve"> steadily declined over the past decades in the United States, in part due to advances in </w:t>
      </w:r>
      <w:r w:rsidR="0043387F">
        <w:t xml:space="preserve">prevention, screening, and </w:t>
      </w:r>
      <w:r w:rsidR="000277EC" w:rsidRPr="00476ECB">
        <w:t xml:space="preserve">treatment. However, the dissemination and uptake of new </w:t>
      </w:r>
      <w:r w:rsidR="0043387F">
        <w:t>cancer therapies</w:t>
      </w:r>
      <w:r w:rsidR="000277EC" w:rsidRPr="00476ECB">
        <w:t xml:space="preserve"> </w:t>
      </w:r>
      <w:r w:rsidR="00C779A3">
        <w:t>often varies</w:t>
      </w:r>
      <w:r w:rsidR="000277EC" w:rsidRPr="00476ECB">
        <w:t xml:space="preserve"> according to patients’ age, race/</w:t>
      </w:r>
      <w:r w:rsidR="00B33EBF">
        <w:t xml:space="preserve">ethnicity, socioeconomic status, and </w:t>
      </w:r>
      <w:r w:rsidR="000277EC" w:rsidRPr="00476ECB">
        <w:t>level of comorbidity</w:t>
      </w:r>
      <w:r w:rsidR="00B33EBF">
        <w:t>, but also provider and practice type</w:t>
      </w:r>
      <w:r w:rsidR="000277EC" w:rsidRPr="00476ECB">
        <w:t xml:space="preserve">. The “appropriateness” of </w:t>
      </w:r>
      <w:r w:rsidR="0043387F">
        <w:t>cancer</w:t>
      </w:r>
      <w:r w:rsidR="000277EC" w:rsidRPr="00476ECB">
        <w:t xml:space="preserve"> treatment among older cancer patients is particularly complex due to the high prevalence of multimorbidity and competing health risks. As the population ages and new therapies are developed, uncertainties surrounding optimal treatment approaches</w:t>
      </w:r>
      <w:r w:rsidR="002204B5">
        <w:t>, particularly</w:t>
      </w:r>
      <w:r w:rsidR="000277EC" w:rsidRPr="00476ECB">
        <w:t xml:space="preserve"> for older cancer </w:t>
      </w:r>
      <w:r w:rsidR="000277EC" w:rsidRPr="0043387F">
        <w:t>patients</w:t>
      </w:r>
      <w:r w:rsidR="002204B5">
        <w:t>,</w:t>
      </w:r>
      <w:r w:rsidR="000277EC" w:rsidRPr="0043387F">
        <w:t xml:space="preserve"> will need to be addressed.</w:t>
      </w:r>
    </w:p>
    <w:p w14:paraId="7BF72D80" w14:textId="77777777" w:rsidR="0043387F" w:rsidRPr="00C7626B" w:rsidRDefault="0043387F" w:rsidP="00CC7C64">
      <w:pPr>
        <w:pStyle w:val="ListParagraph"/>
        <w:widowControl w:val="0"/>
        <w:numPr>
          <w:ilvl w:val="0"/>
          <w:numId w:val="3"/>
        </w:numPr>
        <w:rPr>
          <w:rFonts w:eastAsia="Arial"/>
          <w:bdr w:val="nil"/>
        </w:rPr>
      </w:pPr>
      <w:r w:rsidRPr="00C7626B">
        <w:rPr>
          <w:rFonts w:eastAsia="Arial"/>
          <w:bdr w:val="nil"/>
        </w:rPr>
        <w:t xml:space="preserve">Sanoff HK, Chang Y, Reimers M, </w:t>
      </w:r>
      <w:r w:rsidRPr="007A5265">
        <w:rPr>
          <w:rFonts w:eastAsia="Arial"/>
          <w:bdr w:val="nil"/>
        </w:rPr>
        <w:t>Lund JL</w:t>
      </w:r>
      <w:r w:rsidR="007C722C" w:rsidRPr="00C7626B">
        <w:rPr>
          <w:rFonts w:eastAsia="Arial"/>
          <w:bdr w:val="nil"/>
        </w:rPr>
        <w:t xml:space="preserve">. Hospice Utilization and Its Effect on Acute Care Needs at the End of Life in Medicare Beneficiaries </w:t>
      </w:r>
      <w:proofErr w:type="gramStart"/>
      <w:r w:rsidR="007C722C" w:rsidRPr="00C7626B">
        <w:rPr>
          <w:rFonts w:eastAsia="Arial"/>
          <w:bdr w:val="nil"/>
        </w:rPr>
        <w:t>With</w:t>
      </w:r>
      <w:proofErr w:type="gramEnd"/>
      <w:r w:rsidR="007C722C" w:rsidRPr="00C7626B">
        <w:rPr>
          <w:rFonts w:eastAsia="Arial"/>
          <w:bdr w:val="nil"/>
        </w:rPr>
        <w:t xml:space="preserve"> Hepatocellular Carcinoma.</w:t>
      </w:r>
      <w:r w:rsidRPr="00C7626B">
        <w:rPr>
          <w:rFonts w:eastAsia="Arial"/>
          <w:bdr w:val="nil"/>
        </w:rPr>
        <w:t xml:space="preserve"> </w:t>
      </w:r>
      <w:r w:rsidR="007C722C" w:rsidRPr="00C7626B">
        <w:rPr>
          <w:rFonts w:eastAsia="Arial"/>
          <w:bdr w:val="nil"/>
        </w:rPr>
        <w:t>J</w:t>
      </w:r>
      <w:r w:rsidR="00C779A3">
        <w:rPr>
          <w:rFonts w:eastAsia="Arial"/>
          <w:bdr w:val="nil"/>
        </w:rPr>
        <w:t xml:space="preserve">ournal of </w:t>
      </w:r>
      <w:r w:rsidR="007C722C" w:rsidRPr="00C7626B">
        <w:rPr>
          <w:rFonts w:eastAsia="Arial"/>
          <w:bdr w:val="nil"/>
        </w:rPr>
        <w:t>Oncol</w:t>
      </w:r>
      <w:r w:rsidR="00C779A3">
        <w:rPr>
          <w:rFonts w:eastAsia="Arial"/>
          <w:bdr w:val="nil"/>
        </w:rPr>
        <w:t>ogy</w:t>
      </w:r>
      <w:r w:rsidR="007C722C" w:rsidRPr="00C7626B">
        <w:rPr>
          <w:rFonts w:eastAsia="Arial"/>
          <w:bdr w:val="nil"/>
        </w:rPr>
        <w:t xml:space="preserve"> Pract</w:t>
      </w:r>
      <w:r w:rsidR="00C779A3">
        <w:rPr>
          <w:rFonts w:eastAsia="Arial"/>
          <w:bdr w:val="nil"/>
        </w:rPr>
        <w:t>ice</w:t>
      </w:r>
      <w:r w:rsidR="007C722C" w:rsidRPr="00C7626B">
        <w:rPr>
          <w:rFonts w:eastAsia="Arial"/>
          <w:bdr w:val="nil"/>
        </w:rPr>
        <w:t>. 2017 Mar;</w:t>
      </w:r>
      <w:r w:rsidR="00CC7C64">
        <w:rPr>
          <w:rFonts w:eastAsia="Arial"/>
          <w:bdr w:val="nil"/>
        </w:rPr>
        <w:t xml:space="preserve"> </w:t>
      </w:r>
      <w:r w:rsidR="007C722C" w:rsidRPr="00C7626B">
        <w:rPr>
          <w:rFonts w:eastAsia="Arial"/>
          <w:bdr w:val="nil"/>
        </w:rPr>
        <w:t>13(3</w:t>
      </w:r>
      <w:proofErr w:type="gramStart"/>
      <w:r w:rsidR="007C722C" w:rsidRPr="00C7626B">
        <w:rPr>
          <w:rFonts w:eastAsia="Arial"/>
          <w:bdr w:val="nil"/>
        </w:rPr>
        <w:t>):e</w:t>
      </w:r>
      <w:proofErr w:type="gramEnd"/>
      <w:r w:rsidR="007C722C" w:rsidRPr="00C7626B">
        <w:rPr>
          <w:rFonts w:eastAsia="Arial"/>
          <w:bdr w:val="nil"/>
        </w:rPr>
        <w:t xml:space="preserve">197-e206. </w:t>
      </w:r>
      <w:r w:rsidR="00CA31EA">
        <w:rPr>
          <w:rFonts w:eastAsia="Arial"/>
          <w:bdr w:val="nil"/>
        </w:rPr>
        <w:t xml:space="preserve">PMID: </w:t>
      </w:r>
      <w:r w:rsidR="00CA31EA" w:rsidRPr="007A5265">
        <w:rPr>
          <w:rFonts w:eastAsia="Arial" w:cs="Arial"/>
          <w:szCs w:val="22"/>
          <w:bdr w:val="nil"/>
        </w:rPr>
        <w:t>28029300</w:t>
      </w:r>
      <w:r w:rsidR="00D90FCE">
        <w:rPr>
          <w:rFonts w:eastAsia="Arial" w:cs="Arial"/>
          <w:szCs w:val="22"/>
          <w:bdr w:val="nil"/>
        </w:rPr>
        <w:t>,</w:t>
      </w:r>
      <w:r w:rsidR="00CA31EA" w:rsidRPr="00CA31EA">
        <w:rPr>
          <w:rFonts w:eastAsia="Arial" w:cs="Arial"/>
          <w:szCs w:val="22"/>
          <w:bdr w:val="nil"/>
        </w:rPr>
        <w:t xml:space="preserve"> PMCID: </w:t>
      </w:r>
      <w:r w:rsidR="00CA31EA" w:rsidRPr="007A5265">
        <w:rPr>
          <w:rFonts w:eastAsia="Arial" w:cs="Arial"/>
          <w:szCs w:val="22"/>
          <w:bdr w:val="nil"/>
        </w:rPr>
        <w:t>PMC5946704.</w:t>
      </w:r>
      <w:r w:rsidRPr="007A5265">
        <w:rPr>
          <w:rFonts w:eastAsia="Arial"/>
          <w:bdr w:val="nil"/>
        </w:rPr>
        <w:t xml:space="preserve"> </w:t>
      </w:r>
    </w:p>
    <w:p w14:paraId="549979FD" w14:textId="77777777" w:rsidR="007C722C" w:rsidRPr="00D90FCE" w:rsidRDefault="007C722C" w:rsidP="00D90FCE">
      <w:pPr>
        <w:pStyle w:val="ListParagraph"/>
        <w:widowControl w:val="0"/>
        <w:numPr>
          <w:ilvl w:val="0"/>
          <w:numId w:val="3"/>
        </w:numPr>
        <w:rPr>
          <w:rFonts w:eastAsia="Arial" w:cs="Arial"/>
          <w:szCs w:val="22"/>
          <w:bdr w:val="nil"/>
        </w:rPr>
      </w:pPr>
      <w:r w:rsidRPr="00C7626B">
        <w:rPr>
          <w:rFonts w:eastAsia="Arial"/>
          <w:bdr w:val="nil"/>
        </w:rPr>
        <w:t>Mohiuddin JJ, Deal AM, Carey LA, </w:t>
      </w:r>
      <w:r w:rsidRPr="007A5265">
        <w:rPr>
          <w:rFonts w:eastAsia="Arial"/>
          <w:bdr w:val="nil"/>
        </w:rPr>
        <w:t>Lund JL</w:t>
      </w:r>
      <w:r w:rsidRPr="00C7626B">
        <w:rPr>
          <w:rFonts w:eastAsia="Arial"/>
          <w:bdr w:val="nil"/>
        </w:rPr>
        <w:t xml:space="preserve">, Baker BR, </w:t>
      </w:r>
      <w:proofErr w:type="spellStart"/>
      <w:r w:rsidRPr="00C7626B">
        <w:rPr>
          <w:rFonts w:eastAsia="Arial"/>
          <w:bdr w:val="nil"/>
        </w:rPr>
        <w:t>Zagar</w:t>
      </w:r>
      <w:proofErr w:type="spellEnd"/>
      <w:r w:rsidRPr="00C7626B">
        <w:rPr>
          <w:rFonts w:eastAsia="Arial"/>
          <w:bdr w:val="nil"/>
        </w:rPr>
        <w:t xml:space="preserve"> TM, Jones EL, Marks LB, Chen RC. Neoadjuvant Systemic Therapy Use for Younger Patients with Breast Cancer Treated in Different Types of Cancer Centers Across the United States. J</w:t>
      </w:r>
      <w:r w:rsidR="00C779A3">
        <w:rPr>
          <w:rFonts w:eastAsia="Arial"/>
          <w:bdr w:val="nil"/>
        </w:rPr>
        <w:t>ournal of the</w:t>
      </w:r>
      <w:r w:rsidRPr="00C7626B">
        <w:rPr>
          <w:rFonts w:eastAsia="Arial"/>
          <w:bdr w:val="nil"/>
        </w:rPr>
        <w:t xml:space="preserve"> Am</w:t>
      </w:r>
      <w:r w:rsidR="00C779A3">
        <w:rPr>
          <w:rFonts w:eastAsia="Arial"/>
          <w:bdr w:val="nil"/>
        </w:rPr>
        <w:t>erican</w:t>
      </w:r>
      <w:r w:rsidRPr="00C7626B">
        <w:rPr>
          <w:rFonts w:eastAsia="Arial"/>
          <w:bdr w:val="nil"/>
        </w:rPr>
        <w:t xml:space="preserve"> Coll</w:t>
      </w:r>
      <w:r w:rsidR="00C779A3">
        <w:rPr>
          <w:rFonts w:eastAsia="Arial"/>
          <w:bdr w:val="nil"/>
        </w:rPr>
        <w:t>ege</w:t>
      </w:r>
      <w:r w:rsidRPr="00C7626B">
        <w:rPr>
          <w:rFonts w:eastAsia="Arial"/>
          <w:bdr w:val="nil"/>
        </w:rPr>
        <w:t xml:space="preserve"> </w:t>
      </w:r>
      <w:r w:rsidR="00C779A3">
        <w:rPr>
          <w:rFonts w:eastAsia="Arial"/>
          <w:bdr w:val="nil"/>
        </w:rPr>
        <w:t xml:space="preserve">of </w:t>
      </w:r>
      <w:r w:rsidRPr="00C7626B">
        <w:rPr>
          <w:rFonts w:eastAsia="Arial"/>
          <w:bdr w:val="nil"/>
        </w:rPr>
        <w:t>Surg</w:t>
      </w:r>
      <w:r w:rsidR="00C779A3">
        <w:rPr>
          <w:rFonts w:eastAsia="Arial"/>
          <w:bdr w:val="nil"/>
        </w:rPr>
        <w:t>eons</w:t>
      </w:r>
      <w:r w:rsidRPr="00C7626B">
        <w:rPr>
          <w:rFonts w:eastAsia="Arial"/>
          <w:bdr w:val="nil"/>
        </w:rPr>
        <w:t>. 2016 Nov;</w:t>
      </w:r>
      <w:r w:rsidR="00CC7C64">
        <w:rPr>
          <w:rFonts w:eastAsia="Arial"/>
          <w:bdr w:val="nil"/>
        </w:rPr>
        <w:t xml:space="preserve"> </w:t>
      </w:r>
      <w:r w:rsidRPr="00C7626B">
        <w:rPr>
          <w:rFonts w:eastAsia="Arial"/>
          <w:bdr w:val="nil"/>
        </w:rPr>
        <w:t>223(5):717-728.e4.</w:t>
      </w:r>
      <w:r w:rsidR="00A12E81">
        <w:rPr>
          <w:rFonts w:eastAsia="Arial"/>
          <w:bdr w:val="nil"/>
        </w:rPr>
        <w:t xml:space="preserve"> </w:t>
      </w:r>
      <w:r w:rsidR="00A12E81" w:rsidRPr="007A5265">
        <w:rPr>
          <w:rFonts w:eastAsia="Arial"/>
          <w:bdr w:val="nil"/>
        </w:rPr>
        <w:t xml:space="preserve">PMID: </w:t>
      </w:r>
      <w:r w:rsidR="00A12E81" w:rsidRPr="007A5265">
        <w:rPr>
          <w:rFonts w:eastAsia="Arial" w:cs="Arial"/>
          <w:szCs w:val="22"/>
          <w:bdr w:val="nil"/>
        </w:rPr>
        <w:t>27788894</w:t>
      </w:r>
      <w:r w:rsidR="00D90FCE">
        <w:rPr>
          <w:rFonts w:eastAsia="Arial" w:cs="Arial"/>
          <w:szCs w:val="22"/>
          <w:bdr w:val="nil"/>
        </w:rPr>
        <w:t xml:space="preserve">, </w:t>
      </w:r>
      <w:r w:rsidR="00D90FCE" w:rsidRPr="00D90FCE">
        <w:rPr>
          <w:rFonts w:eastAsia="Arial" w:cs="Arial"/>
          <w:szCs w:val="22"/>
          <w:bdr w:val="nil"/>
        </w:rPr>
        <w:t>PMCID:</w:t>
      </w:r>
      <w:r w:rsidR="00D90FCE">
        <w:rPr>
          <w:rFonts w:eastAsia="Arial" w:cs="Arial"/>
          <w:szCs w:val="22"/>
          <w:bdr w:val="nil"/>
        </w:rPr>
        <w:t xml:space="preserve"> </w:t>
      </w:r>
      <w:r w:rsidR="00D90FCE" w:rsidRPr="00D90FCE">
        <w:rPr>
          <w:rFonts w:eastAsia="Arial" w:cs="Arial"/>
          <w:szCs w:val="22"/>
          <w:bdr w:val="nil"/>
        </w:rPr>
        <w:t>PMC6059614</w:t>
      </w:r>
      <w:r w:rsidR="00A12E81" w:rsidRPr="00D90FCE">
        <w:rPr>
          <w:rFonts w:eastAsia="Arial" w:cs="Arial"/>
          <w:szCs w:val="22"/>
          <w:bdr w:val="nil"/>
        </w:rPr>
        <w:t>.</w:t>
      </w:r>
      <w:r w:rsidRPr="00D90FCE">
        <w:rPr>
          <w:rFonts w:eastAsia="Arial"/>
          <w:bdr w:val="nil"/>
        </w:rPr>
        <w:t xml:space="preserve"> </w:t>
      </w:r>
    </w:p>
    <w:p w14:paraId="1EE9CDBB" w14:textId="77777777" w:rsidR="00CC00F8" w:rsidRPr="00C7626B" w:rsidRDefault="000277EC" w:rsidP="00CC7C64">
      <w:pPr>
        <w:pStyle w:val="ListParagraph"/>
        <w:widowControl w:val="0"/>
        <w:numPr>
          <w:ilvl w:val="0"/>
          <w:numId w:val="3"/>
        </w:numPr>
        <w:rPr>
          <w:rFonts w:eastAsia="Arial"/>
          <w:bdr w:val="nil"/>
        </w:rPr>
      </w:pPr>
      <w:r w:rsidRPr="007A5265">
        <w:rPr>
          <w:rFonts w:eastAsia="Arial"/>
          <w:bdr w:val="nil"/>
        </w:rPr>
        <w:t>Murphy CC, Harlan LC, Lund JL</w:t>
      </w:r>
      <w:r w:rsidRPr="00C7626B">
        <w:rPr>
          <w:rFonts w:eastAsia="Arial"/>
          <w:bdr w:val="nil"/>
        </w:rPr>
        <w:t>, Lynch CF, Geiger AM. Patterns of Colorectal Cancer Care in the United States: 1990-2010. J</w:t>
      </w:r>
      <w:r w:rsidR="00C779A3">
        <w:rPr>
          <w:rFonts w:eastAsia="Arial"/>
          <w:bdr w:val="nil"/>
        </w:rPr>
        <w:t>ournal of the</w:t>
      </w:r>
      <w:r w:rsidRPr="00C7626B">
        <w:rPr>
          <w:rFonts w:eastAsia="Arial"/>
          <w:bdr w:val="nil"/>
        </w:rPr>
        <w:t xml:space="preserve"> Nat</w:t>
      </w:r>
      <w:r w:rsidR="00C779A3">
        <w:rPr>
          <w:rFonts w:eastAsia="Arial"/>
          <w:bdr w:val="nil"/>
        </w:rPr>
        <w:t>iona</w:t>
      </w:r>
      <w:r w:rsidRPr="00C7626B">
        <w:rPr>
          <w:rFonts w:eastAsia="Arial"/>
          <w:bdr w:val="nil"/>
        </w:rPr>
        <w:t>l Cancer Inst</w:t>
      </w:r>
      <w:r w:rsidR="00C779A3">
        <w:rPr>
          <w:rFonts w:eastAsia="Arial"/>
          <w:bdr w:val="nil"/>
        </w:rPr>
        <w:t>itute</w:t>
      </w:r>
      <w:r w:rsidRPr="00C7626B">
        <w:rPr>
          <w:rFonts w:eastAsia="Arial"/>
          <w:bdr w:val="nil"/>
        </w:rPr>
        <w:t>. 2015 Oct;</w:t>
      </w:r>
      <w:r w:rsidR="00CC7C64">
        <w:rPr>
          <w:rFonts w:eastAsia="Arial"/>
          <w:bdr w:val="nil"/>
        </w:rPr>
        <w:t xml:space="preserve"> </w:t>
      </w:r>
      <w:r w:rsidRPr="00C7626B">
        <w:rPr>
          <w:rFonts w:eastAsia="Arial"/>
          <w:bdr w:val="nil"/>
        </w:rPr>
        <w:t>107(10)</w:t>
      </w:r>
      <w:r w:rsidR="00CA31EA">
        <w:rPr>
          <w:rFonts w:eastAsia="Arial"/>
          <w:bdr w:val="nil"/>
        </w:rPr>
        <w:t xml:space="preserve">. </w:t>
      </w:r>
      <w:r w:rsidRPr="00C7626B">
        <w:rPr>
          <w:rFonts w:eastAsia="Arial"/>
          <w:bdr w:val="nil"/>
        </w:rPr>
        <w:t xml:space="preserve">PMID: </w:t>
      </w:r>
      <w:hyperlink r:id="rId8" w:history="1">
        <w:r w:rsidRPr="007A5265">
          <w:rPr>
            <w:rFonts w:eastAsia="Arial" w:cs="Arial"/>
            <w:szCs w:val="22"/>
            <w:bdr w:val="nil"/>
          </w:rPr>
          <w:t>26206950</w:t>
        </w:r>
      </w:hyperlink>
      <w:r w:rsidR="00D90FCE">
        <w:rPr>
          <w:rFonts w:eastAsia="Arial"/>
          <w:bdr w:val="nil"/>
        </w:rPr>
        <w:t>,</w:t>
      </w:r>
      <w:r w:rsidR="00A12E81" w:rsidRPr="007A5265">
        <w:rPr>
          <w:rFonts w:eastAsia="Arial"/>
          <w:bdr w:val="nil"/>
        </w:rPr>
        <w:t xml:space="preserve"> </w:t>
      </w:r>
      <w:r w:rsidR="00A12E81" w:rsidRPr="00A12E81">
        <w:rPr>
          <w:rFonts w:eastAsia="Arial"/>
          <w:bdr w:val="nil"/>
        </w:rPr>
        <w:t xml:space="preserve">PMCID: </w:t>
      </w:r>
      <w:r w:rsidR="00A12E81" w:rsidRPr="007A5265">
        <w:rPr>
          <w:rFonts w:eastAsia="Arial" w:cs="Arial"/>
          <w:szCs w:val="22"/>
          <w:bdr w:val="nil"/>
        </w:rPr>
        <w:t>PMC4840367</w:t>
      </w:r>
      <w:r w:rsidRPr="007A5265">
        <w:rPr>
          <w:rFonts w:eastAsia="Arial"/>
          <w:bdr w:val="nil"/>
        </w:rPr>
        <w:t xml:space="preserve">. </w:t>
      </w:r>
    </w:p>
    <w:p w14:paraId="0A864B37" w14:textId="77777777" w:rsidR="00CC00F8" w:rsidRPr="00C7626B" w:rsidRDefault="000277EC" w:rsidP="00CC7C64">
      <w:pPr>
        <w:pStyle w:val="ListParagraph"/>
        <w:widowControl w:val="0"/>
        <w:numPr>
          <w:ilvl w:val="0"/>
          <w:numId w:val="3"/>
        </w:numPr>
        <w:rPr>
          <w:rFonts w:eastAsia="Arial"/>
          <w:bdr w:val="nil"/>
        </w:rPr>
      </w:pPr>
      <w:r w:rsidRPr="007A5265">
        <w:rPr>
          <w:rFonts w:eastAsia="Arial"/>
          <w:bdr w:val="nil"/>
        </w:rPr>
        <w:t>Lund JL</w:t>
      </w:r>
      <w:r w:rsidRPr="00C7626B">
        <w:rPr>
          <w:rFonts w:eastAsia="Arial"/>
          <w:bdr w:val="nil"/>
        </w:rPr>
        <w:t xml:space="preserve">, Stürmer T, Sanoff HK, Brookhart A, Sandler </w:t>
      </w:r>
      <w:r w:rsidR="00CC7C64">
        <w:rPr>
          <w:rFonts w:eastAsia="Arial"/>
          <w:bdr w:val="nil"/>
        </w:rPr>
        <w:t>RS, Warren JL. Determinants of Adjuvant Oxaliplatin Receipt among Older Stage II and III Colorectal Cancer P</w:t>
      </w:r>
      <w:r w:rsidRPr="00C7626B">
        <w:rPr>
          <w:rFonts w:eastAsia="Arial"/>
          <w:bdr w:val="nil"/>
        </w:rPr>
        <w:t>atients. Cancer. 2013 Jun 1;</w:t>
      </w:r>
      <w:r w:rsidR="00CC7C64">
        <w:rPr>
          <w:rFonts w:eastAsia="Arial"/>
          <w:bdr w:val="nil"/>
        </w:rPr>
        <w:t xml:space="preserve"> </w:t>
      </w:r>
      <w:r w:rsidR="00D90FCE">
        <w:rPr>
          <w:rFonts w:eastAsia="Arial"/>
          <w:bdr w:val="nil"/>
        </w:rPr>
        <w:t xml:space="preserve">119(11):2038-47. </w:t>
      </w:r>
      <w:r w:rsidRPr="00C7626B">
        <w:rPr>
          <w:rFonts w:eastAsia="Arial"/>
          <w:bdr w:val="nil"/>
        </w:rPr>
        <w:t xml:space="preserve">PMID: </w:t>
      </w:r>
      <w:hyperlink r:id="rId9" w:history="1">
        <w:r w:rsidRPr="007A5265">
          <w:rPr>
            <w:rFonts w:eastAsia="Arial" w:cs="Arial"/>
            <w:szCs w:val="22"/>
            <w:bdr w:val="nil"/>
          </w:rPr>
          <w:t>23512326</w:t>
        </w:r>
      </w:hyperlink>
      <w:r w:rsidR="00D90FCE">
        <w:rPr>
          <w:rFonts w:eastAsia="Arial"/>
          <w:bdr w:val="nil"/>
        </w:rPr>
        <w:t>,</w:t>
      </w:r>
      <w:r w:rsidRPr="00C7626B">
        <w:rPr>
          <w:rFonts w:eastAsia="Arial"/>
          <w:bdr w:val="nil"/>
        </w:rPr>
        <w:t xml:space="preserve"> PMCID: </w:t>
      </w:r>
      <w:hyperlink r:id="rId10" w:history="1">
        <w:r w:rsidRPr="007A5265">
          <w:rPr>
            <w:rFonts w:eastAsia="Arial" w:cs="Arial"/>
            <w:szCs w:val="22"/>
            <w:bdr w:val="nil"/>
          </w:rPr>
          <w:t>PMC3663924</w:t>
        </w:r>
      </w:hyperlink>
      <w:r w:rsidRPr="007A5265">
        <w:rPr>
          <w:rFonts w:eastAsia="Arial"/>
          <w:bdr w:val="nil"/>
        </w:rPr>
        <w:t xml:space="preserve">. </w:t>
      </w:r>
    </w:p>
    <w:p w14:paraId="5D002D02" w14:textId="77777777" w:rsidR="00CC00F8" w:rsidRPr="00476ECB" w:rsidRDefault="00CC7C64" w:rsidP="00CC7C64">
      <w:pPr>
        <w:widowControl w:val="0"/>
        <w:numPr>
          <w:ilvl w:val="0"/>
          <w:numId w:val="2"/>
        </w:numPr>
        <w:spacing w:before="220"/>
        <w:ind w:left="375"/>
      </w:pPr>
      <w:r>
        <w:rPr>
          <w:u w:val="single"/>
        </w:rPr>
        <w:t>Evaluating the Effectiveness and Safety of Cancer Treatments among Older A</w:t>
      </w:r>
      <w:r w:rsidR="000277EC" w:rsidRPr="00CC7C64">
        <w:rPr>
          <w:u w:val="single"/>
        </w:rPr>
        <w:t>dults</w:t>
      </w:r>
      <w:r w:rsidR="000277EC" w:rsidRPr="00476ECB">
        <w:rPr>
          <w:b/>
        </w:rPr>
        <w:t>.</w:t>
      </w:r>
      <w:r w:rsidR="000277EC" w:rsidRPr="00476ECB">
        <w:t xml:space="preserve"> As randomized controlled trials of cancer therapies tend to underrepresent older adults and those with multimorbidity, substantial uncertainties remain regarding the safety and effectiveness of these treatments in medically complex populations. My </w:t>
      </w:r>
      <w:r w:rsidR="003911E9">
        <w:t xml:space="preserve">research seeks to evaluate the </w:t>
      </w:r>
      <w:r w:rsidR="000277EC" w:rsidRPr="00476ECB">
        <w:t xml:space="preserve">effectiveness </w:t>
      </w:r>
      <w:r w:rsidR="009F3BB8">
        <w:t xml:space="preserve">and safety </w:t>
      </w:r>
      <w:r w:rsidR="000277EC" w:rsidRPr="00476ECB">
        <w:t xml:space="preserve">of cancer therapies among older adults treated in “real world” settings. Confounding is of </w:t>
      </w:r>
      <w:proofErr w:type="gramStart"/>
      <w:r w:rsidR="000277EC" w:rsidRPr="00476ECB">
        <w:t>particular concern</w:t>
      </w:r>
      <w:proofErr w:type="gramEnd"/>
      <w:r w:rsidR="000277EC" w:rsidRPr="00476ECB">
        <w:t xml:space="preserve"> in non-experimental comparative effectiveness studies of older adults diagnosed with cancer; however, bias can be (at least partially) mitigated through study design and analytic methods. The comparative effectiveness and safety of cancer therapies can vary across subgroups and highlighting these heterogeneous effects can lead to more personalized </w:t>
      </w:r>
      <w:r w:rsidR="009F3BB8">
        <w:t xml:space="preserve">approaches </w:t>
      </w:r>
      <w:r w:rsidR="000277EC" w:rsidRPr="00476ECB">
        <w:t>for older adults.</w:t>
      </w:r>
    </w:p>
    <w:p w14:paraId="6ACB901F" w14:textId="77777777" w:rsidR="009450E2" w:rsidRDefault="009450E2" w:rsidP="00CC7C64">
      <w:pPr>
        <w:pStyle w:val="ListParagraph"/>
        <w:widowControl w:val="0"/>
        <w:numPr>
          <w:ilvl w:val="0"/>
          <w:numId w:val="7"/>
        </w:numPr>
        <w:rPr>
          <w:rFonts w:eastAsia="Arial"/>
          <w:bdr w:val="nil"/>
        </w:rPr>
      </w:pPr>
      <w:r w:rsidRPr="009450E2">
        <w:rPr>
          <w:rFonts w:eastAsia="Arial"/>
          <w:bdr w:val="nil"/>
        </w:rPr>
        <w:t xml:space="preserve">Østgård LSG, </w:t>
      </w:r>
      <w:r w:rsidRPr="008C275F">
        <w:rPr>
          <w:rFonts w:eastAsia="Arial"/>
          <w:bdr w:val="nil"/>
        </w:rPr>
        <w:t>Lund JL</w:t>
      </w:r>
      <w:r w:rsidRPr="009450E2">
        <w:rPr>
          <w:rFonts w:eastAsia="Arial"/>
          <w:bdr w:val="nil"/>
        </w:rPr>
        <w:t xml:space="preserve">, </w:t>
      </w:r>
      <w:proofErr w:type="spellStart"/>
      <w:r w:rsidRPr="009450E2">
        <w:rPr>
          <w:rFonts w:eastAsia="Arial"/>
          <w:bdr w:val="nil"/>
        </w:rPr>
        <w:t>Nørgaard</w:t>
      </w:r>
      <w:proofErr w:type="spellEnd"/>
      <w:r w:rsidRPr="009450E2">
        <w:rPr>
          <w:rFonts w:eastAsia="Arial"/>
          <w:bdr w:val="nil"/>
        </w:rPr>
        <w:t xml:space="preserve"> JM, </w:t>
      </w:r>
      <w:proofErr w:type="spellStart"/>
      <w:r w:rsidRPr="009450E2">
        <w:rPr>
          <w:rFonts w:eastAsia="Arial"/>
          <w:bdr w:val="nil"/>
        </w:rPr>
        <w:t>Nørgaard</w:t>
      </w:r>
      <w:proofErr w:type="spellEnd"/>
      <w:r w:rsidRPr="009450E2">
        <w:rPr>
          <w:rFonts w:eastAsia="Arial"/>
          <w:bdr w:val="nil"/>
        </w:rPr>
        <w:t xml:space="preserve"> M, Medeiros BC, Nielsen B, Nielsen OJ, Overgaard UM, </w:t>
      </w:r>
      <w:proofErr w:type="spellStart"/>
      <w:r w:rsidRPr="009450E2">
        <w:rPr>
          <w:rFonts w:eastAsia="Arial"/>
          <w:bdr w:val="nil"/>
        </w:rPr>
        <w:t>Kallenbach</w:t>
      </w:r>
      <w:proofErr w:type="spellEnd"/>
      <w:r w:rsidRPr="009450E2">
        <w:rPr>
          <w:rFonts w:eastAsia="Arial"/>
          <w:bdr w:val="nil"/>
        </w:rPr>
        <w:t xml:space="preserve"> M, Marcher CW, Riis AH, </w:t>
      </w:r>
      <w:proofErr w:type="spellStart"/>
      <w:r w:rsidRPr="009450E2">
        <w:rPr>
          <w:rFonts w:eastAsia="Arial"/>
          <w:bdr w:val="nil"/>
        </w:rPr>
        <w:t>Sengeløv</w:t>
      </w:r>
      <w:proofErr w:type="spellEnd"/>
      <w:r w:rsidRPr="009450E2">
        <w:rPr>
          <w:rFonts w:eastAsia="Arial"/>
          <w:bdr w:val="nil"/>
        </w:rPr>
        <w:t xml:space="preserve"> H</w:t>
      </w:r>
      <w:r>
        <w:rPr>
          <w:rFonts w:eastAsia="Arial"/>
          <w:bdr w:val="nil"/>
        </w:rPr>
        <w:t xml:space="preserve">. </w:t>
      </w:r>
      <w:r w:rsidRPr="009450E2">
        <w:rPr>
          <w:rFonts w:eastAsia="Arial"/>
          <w:bdr w:val="nil"/>
        </w:rPr>
        <w:t>Impact of Allogeneic Stem Cell Transplantation in First Complete Remission in Acute Myeloid Leukemia: A National Population-Based Cohort Study</w:t>
      </w:r>
      <w:r>
        <w:rPr>
          <w:rFonts w:eastAsia="Arial"/>
          <w:bdr w:val="nil"/>
        </w:rPr>
        <w:t>.</w:t>
      </w:r>
      <w:r w:rsidR="00534766">
        <w:rPr>
          <w:rFonts w:eastAsia="Arial"/>
          <w:bdr w:val="nil"/>
        </w:rPr>
        <w:t xml:space="preserve"> </w:t>
      </w:r>
      <w:r w:rsidR="00534766" w:rsidRPr="00534766">
        <w:rPr>
          <w:rFonts w:eastAsia="Arial"/>
          <w:bdr w:val="nil"/>
        </w:rPr>
        <w:t>Biol</w:t>
      </w:r>
      <w:r w:rsidR="00534766">
        <w:rPr>
          <w:rFonts w:eastAsia="Arial"/>
          <w:bdr w:val="nil"/>
        </w:rPr>
        <w:t>ogy of</w:t>
      </w:r>
      <w:r w:rsidR="00534766" w:rsidRPr="00534766">
        <w:rPr>
          <w:rFonts w:eastAsia="Arial"/>
          <w:bdr w:val="nil"/>
        </w:rPr>
        <w:t xml:space="preserve"> Blood </w:t>
      </w:r>
      <w:r w:rsidR="00534766">
        <w:rPr>
          <w:rFonts w:eastAsia="Arial"/>
          <w:bdr w:val="nil"/>
        </w:rPr>
        <w:t xml:space="preserve">and </w:t>
      </w:r>
      <w:r w:rsidR="00534766" w:rsidRPr="00534766">
        <w:rPr>
          <w:rFonts w:eastAsia="Arial"/>
          <w:bdr w:val="nil"/>
        </w:rPr>
        <w:t>Marrow Transplant</w:t>
      </w:r>
      <w:r w:rsidR="00534766">
        <w:rPr>
          <w:rFonts w:eastAsia="Arial"/>
          <w:bdr w:val="nil"/>
        </w:rPr>
        <w:t>ation</w:t>
      </w:r>
      <w:r w:rsidR="00534766" w:rsidRPr="00534766">
        <w:rPr>
          <w:rFonts w:eastAsia="Arial"/>
          <w:bdr w:val="nil"/>
        </w:rPr>
        <w:t>.</w:t>
      </w:r>
      <w:r>
        <w:rPr>
          <w:rFonts w:eastAsia="Arial"/>
          <w:bdr w:val="nil"/>
        </w:rPr>
        <w:t xml:space="preserve"> </w:t>
      </w:r>
      <w:r w:rsidRPr="009450E2">
        <w:rPr>
          <w:rFonts w:eastAsia="Arial"/>
          <w:bdr w:val="nil"/>
        </w:rPr>
        <w:t>201</w:t>
      </w:r>
      <w:r>
        <w:rPr>
          <w:rFonts w:eastAsia="Arial"/>
          <w:bdr w:val="nil"/>
        </w:rPr>
        <w:t>8</w:t>
      </w:r>
      <w:r w:rsidRPr="009450E2">
        <w:rPr>
          <w:rFonts w:eastAsia="Arial"/>
          <w:bdr w:val="nil"/>
        </w:rPr>
        <w:t xml:space="preserve"> Feb;</w:t>
      </w:r>
      <w:r w:rsidR="00CC7C64">
        <w:rPr>
          <w:rFonts w:eastAsia="Arial"/>
          <w:bdr w:val="nil"/>
        </w:rPr>
        <w:t xml:space="preserve"> </w:t>
      </w:r>
      <w:r w:rsidR="00D90FCE">
        <w:rPr>
          <w:rFonts w:eastAsia="Arial"/>
          <w:bdr w:val="nil"/>
        </w:rPr>
        <w:t xml:space="preserve">24(2):314-323. </w:t>
      </w:r>
      <w:r w:rsidRPr="009450E2">
        <w:rPr>
          <w:rFonts w:eastAsia="Arial"/>
          <w:bdr w:val="nil"/>
        </w:rPr>
        <w:t>PMID</w:t>
      </w:r>
      <w:r>
        <w:rPr>
          <w:rFonts w:eastAsia="Arial"/>
          <w:bdr w:val="nil"/>
        </w:rPr>
        <w:t xml:space="preserve">: </w:t>
      </w:r>
      <w:r w:rsidRPr="008C275F">
        <w:rPr>
          <w:rFonts w:eastAsia="Arial" w:cs="Arial"/>
          <w:szCs w:val="22"/>
          <w:bdr w:val="nil"/>
        </w:rPr>
        <w:t>29051022.</w:t>
      </w:r>
      <w:r w:rsidRPr="008C275F">
        <w:rPr>
          <w:rFonts w:eastAsia="Arial"/>
          <w:bdr w:val="nil"/>
        </w:rPr>
        <w:t xml:space="preserve"> </w:t>
      </w:r>
    </w:p>
    <w:p w14:paraId="1E64F2C5" w14:textId="77777777" w:rsidR="002E37B3" w:rsidRPr="00054D4B" w:rsidRDefault="002E37B3" w:rsidP="00054D4B">
      <w:pPr>
        <w:pStyle w:val="citationUlliParagraph"/>
        <w:widowControl w:val="0"/>
        <w:numPr>
          <w:ilvl w:val="0"/>
          <w:numId w:val="7"/>
        </w:numPr>
        <w:rPr>
          <w:rFonts w:cs="Times New Roman"/>
          <w:szCs w:val="24"/>
        </w:rPr>
      </w:pPr>
      <w:r w:rsidRPr="002E37B3">
        <w:rPr>
          <w:rFonts w:cs="Times New Roman"/>
          <w:szCs w:val="24"/>
        </w:rPr>
        <w:t xml:space="preserve">Sanoff HK, Chang Y, </w:t>
      </w:r>
      <w:proofErr w:type="spellStart"/>
      <w:r w:rsidRPr="002E37B3">
        <w:rPr>
          <w:rFonts w:cs="Times New Roman"/>
          <w:szCs w:val="24"/>
        </w:rPr>
        <w:t>Stavas</w:t>
      </w:r>
      <w:proofErr w:type="spellEnd"/>
      <w:r w:rsidRPr="002E37B3">
        <w:rPr>
          <w:rFonts w:cs="Times New Roman"/>
          <w:szCs w:val="24"/>
        </w:rPr>
        <w:t xml:space="preserve"> JM, </w:t>
      </w:r>
      <w:r w:rsidR="002440E6" w:rsidRPr="002E37B3">
        <w:rPr>
          <w:rFonts w:cs="Times New Roman"/>
          <w:szCs w:val="24"/>
        </w:rPr>
        <w:t>Stürmer</w:t>
      </w:r>
      <w:r w:rsidRPr="002E37B3">
        <w:rPr>
          <w:rFonts w:cs="Times New Roman"/>
          <w:szCs w:val="24"/>
        </w:rPr>
        <w:t xml:space="preserve"> T, </w:t>
      </w:r>
      <w:r w:rsidRPr="008C275F">
        <w:rPr>
          <w:rFonts w:cs="Times New Roman"/>
          <w:szCs w:val="24"/>
        </w:rPr>
        <w:t>Lund J</w:t>
      </w:r>
      <w:r w:rsidR="00813949" w:rsidRPr="008C275F">
        <w:rPr>
          <w:rFonts w:cs="Times New Roman"/>
          <w:szCs w:val="24"/>
        </w:rPr>
        <w:t>L</w:t>
      </w:r>
      <w:r w:rsidRPr="002E37B3">
        <w:rPr>
          <w:rFonts w:cs="Times New Roman"/>
          <w:szCs w:val="24"/>
        </w:rPr>
        <w:t xml:space="preserve">. Effectiveness of Initial </w:t>
      </w:r>
      <w:proofErr w:type="spellStart"/>
      <w:r w:rsidRPr="002E37B3">
        <w:rPr>
          <w:rFonts w:cs="Times New Roman"/>
          <w:szCs w:val="24"/>
        </w:rPr>
        <w:t>Transarterial</w:t>
      </w:r>
      <w:proofErr w:type="spellEnd"/>
      <w:r w:rsidRPr="002E37B3">
        <w:rPr>
          <w:rFonts w:cs="Times New Roman"/>
          <w:szCs w:val="24"/>
        </w:rPr>
        <w:t xml:space="preserve"> Chemoembolizatio</w:t>
      </w:r>
      <w:r w:rsidR="00CC7C64">
        <w:rPr>
          <w:rFonts w:cs="Times New Roman"/>
          <w:szCs w:val="24"/>
        </w:rPr>
        <w:t>n for Hepatocellular Carcinoma a</w:t>
      </w:r>
      <w:r w:rsidRPr="002E37B3">
        <w:rPr>
          <w:rFonts w:cs="Times New Roman"/>
          <w:szCs w:val="24"/>
        </w:rPr>
        <w:t xml:space="preserve">mong Medicare Beneficiaries. J Natl </w:t>
      </w:r>
      <w:proofErr w:type="spellStart"/>
      <w:r w:rsidRPr="002E37B3">
        <w:rPr>
          <w:rFonts w:cs="Times New Roman"/>
          <w:szCs w:val="24"/>
        </w:rPr>
        <w:t>Compr</w:t>
      </w:r>
      <w:proofErr w:type="spellEnd"/>
      <w:r w:rsidRPr="002E37B3">
        <w:rPr>
          <w:rFonts w:cs="Times New Roman"/>
          <w:szCs w:val="24"/>
        </w:rPr>
        <w:t xml:space="preserve"> </w:t>
      </w:r>
      <w:proofErr w:type="spellStart"/>
      <w:r w:rsidRPr="002E37B3">
        <w:rPr>
          <w:rFonts w:cs="Times New Roman"/>
          <w:szCs w:val="24"/>
        </w:rPr>
        <w:t>Canc</w:t>
      </w:r>
      <w:proofErr w:type="spellEnd"/>
      <w:r w:rsidRPr="002E37B3">
        <w:rPr>
          <w:rFonts w:cs="Times New Roman"/>
          <w:szCs w:val="24"/>
        </w:rPr>
        <w:t xml:space="preserve"> Netw</w:t>
      </w:r>
      <w:r w:rsidR="00534766">
        <w:rPr>
          <w:rFonts w:cs="Times New Roman"/>
          <w:szCs w:val="24"/>
        </w:rPr>
        <w:t>ork</w:t>
      </w:r>
      <w:r w:rsidRPr="002E37B3">
        <w:rPr>
          <w:rFonts w:cs="Times New Roman"/>
          <w:szCs w:val="24"/>
        </w:rPr>
        <w:t>. 2015;</w:t>
      </w:r>
      <w:r w:rsidR="00CC7C64">
        <w:rPr>
          <w:rFonts w:cs="Times New Roman"/>
          <w:szCs w:val="24"/>
        </w:rPr>
        <w:t xml:space="preserve"> </w:t>
      </w:r>
      <w:r w:rsidRPr="002E37B3">
        <w:rPr>
          <w:rFonts w:cs="Times New Roman"/>
          <w:szCs w:val="24"/>
        </w:rPr>
        <w:t>13(9):1102-1110.</w:t>
      </w:r>
      <w:r w:rsidR="00054D4B">
        <w:rPr>
          <w:rFonts w:cs="Times New Roman"/>
          <w:szCs w:val="24"/>
        </w:rPr>
        <w:t xml:space="preserve"> </w:t>
      </w:r>
      <w:r w:rsidR="00054D4B" w:rsidRPr="00054D4B">
        <w:rPr>
          <w:rFonts w:cs="Times New Roman"/>
          <w:szCs w:val="24"/>
        </w:rPr>
        <w:t>PMID:</w:t>
      </w:r>
      <w:r w:rsidR="00054D4B">
        <w:rPr>
          <w:rFonts w:cs="Times New Roman"/>
          <w:szCs w:val="24"/>
        </w:rPr>
        <w:t xml:space="preserve"> </w:t>
      </w:r>
      <w:r w:rsidR="00054D4B" w:rsidRPr="00054D4B">
        <w:rPr>
          <w:rFonts w:cs="Times New Roman"/>
          <w:szCs w:val="24"/>
        </w:rPr>
        <w:t>26358794</w:t>
      </w:r>
      <w:r w:rsidR="00D90FCE">
        <w:rPr>
          <w:rFonts w:cs="Times New Roman"/>
          <w:szCs w:val="24"/>
        </w:rPr>
        <w:t>,</w:t>
      </w:r>
      <w:r w:rsidR="00054D4B">
        <w:rPr>
          <w:rFonts w:cs="Times New Roman"/>
          <w:szCs w:val="24"/>
        </w:rPr>
        <w:t xml:space="preserve"> </w:t>
      </w:r>
      <w:r w:rsidR="00054D4B" w:rsidRPr="00054D4B">
        <w:rPr>
          <w:rFonts w:cs="Times New Roman"/>
          <w:szCs w:val="24"/>
        </w:rPr>
        <w:t>PMCID:</w:t>
      </w:r>
      <w:r w:rsidR="00054D4B">
        <w:rPr>
          <w:rFonts w:cs="Times New Roman"/>
          <w:szCs w:val="24"/>
        </w:rPr>
        <w:t xml:space="preserve"> </w:t>
      </w:r>
      <w:r w:rsidR="00054D4B" w:rsidRPr="00054D4B">
        <w:rPr>
          <w:rFonts w:cs="Times New Roman"/>
          <w:szCs w:val="24"/>
        </w:rPr>
        <w:t>PMC4861995</w:t>
      </w:r>
      <w:r w:rsidR="00054D4B">
        <w:rPr>
          <w:rFonts w:cs="Times New Roman"/>
          <w:szCs w:val="24"/>
        </w:rPr>
        <w:t>.</w:t>
      </w:r>
    </w:p>
    <w:p w14:paraId="21C22CA3" w14:textId="77777777" w:rsidR="00211FA1" w:rsidRPr="00281D2D" w:rsidRDefault="00211FA1" w:rsidP="00CC7C64">
      <w:pPr>
        <w:pStyle w:val="citationUlliParagraph"/>
        <w:widowControl w:val="0"/>
        <w:numPr>
          <w:ilvl w:val="0"/>
          <w:numId w:val="7"/>
        </w:numPr>
        <w:spacing w:after="0"/>
      </w:pPr>
      <w:r w:rsidRPr="008C275F">
        <w:t>Lund JL</w:t>
      </w:r>
      <w:r w:rsidRPr="00476ECB">
        <w:t>, Stü</w:t>
      </w:r>
      <w:r w:rsidR="00CC7C64">
        <w:t>rmer T, Sanoff HK. Comparative Effectiveness of Postoperative Chemotherapy among Older Non-metastatic Rectal Cancer Patients Treated with Preoperative C</w:t>
      </w:r>
      <w:r w:rsidRPr="00476ECB">
        <w:t xml:space="preserve">hemoradiotherapy. Journal of </w:t>
      </w:r>
      <w:r>
        <w:t>G</w:t>
      </w:r>
      <w:r w:rsidRPr="00476ECB">
        <w:t xml:space="preserve">eriatric </w:t>
      </w:r>
      <w:r>
        <w:t xml:space="preserve">Oncology. </w:t>
      </w:r>
      <w:r w:rsidRPr="007766A6">
        <w:t>2016 May;</w:t>
      </w:r>
      <w:r w:rsidR="00CC7C64">
        <w:t xml:space="preserve"> </w:t>
      </w:r>
      <w:r w:rsidRPr="00281D2D">
        <w:t xml:space="preserve">7(3):176-86. </w:t>
      </w:r>
      <w:r w:rsidRPr="00A53FEB">
        <w:t>PMID:</w:t>
      </w:r>
      <w:r w:rsidRPr="00B20B5F">
        <w:rPr>
          <w:rFonts w:eastAsia="Times New Roman"/>
          <w:color w:val="454545"/>
          <w:bdr w:val="none" w:sz="0" w:space="0" w:color="auto"/>
        </w:rPr>
        <w:t xml:space="preserve"> </w:t>
      </w:r>
      <w:r w:rsidRPr="008C275F">
        <w:t>26926829</w:t>
      </w:r>
      <w:r w:rsidR="00D90FCE">
        <w:t xml:space="preserve">, </w:t>
      </w:r>
      <w:r w:rsidRPr="00476ECB">
        <w:t>PMCID:</w:t>
      </w:r>
      <w:r>
        <w:t xml:space="preserve"> </w:t>
      </w:r>
      <w:hyperlink r:id="rId11" w:history="1">
        <w:r w:rsidRPr="008C275F">
          <w:t>PMC4871747</w:t>
        </w:r>
      </w:hyperlink>
      <w:r w:rsidRPr="008C275F">
        <w:t>.</w:t>
      </w:r>
    </w:p>
    <w:p w14:paraId="31371E1E" w14:textId="77777777" w:rsidR="00211FA1" w:rsidRDefault="00211FA1" w:rsidP="00CC7C64">
      <w:pPr>
        <w:pStyle w:val="citationUlliParagraph"/>
        <w:widowControl w:val="0"/>
        <w:numPr>
          <w:ilvl w:val="0"/>
          <w:numId w:val="7"/>
        </w:numPr>
        <w:spacing w:after="0"/>
      </w:pPr>
      <w:r w:rsidRPr="008C275F">
        <w:t>Lund JL</w:t>
      </w:r>
      <w:r w:rsidRPr="00476ECB">
        <w:t xml:space="preserve">, Østgård LS, </w:t>
      </w:r>
      <w:proofErr w:type="spellStart"/>
      <w:r w:rsidRPr="00476ECB">
        <w:t>Prandoni</w:t>
      </w:r>
      <w:proofErr w:type="spellEnd"/>
      <w:r w:rsidRPr="00476ECB">
        <w:t xml:space="preserve"> P, Sørensen HT</w:t>
      </w:r>
      <w:r w:rsidR="00CC7C64">
        <w:t xml:space="preserve">, de </w:t>
      </w:r>
      <w:proofErr w:type="spellStart"/>
      <w:r w:rsidR="00CC7C64">
        <w:t>Nully</w:t>
      </w:r>
      <w:proofErr w:type="spellEnd"/>
      <w:r w:rsidR="00CC7C64">
        <w:t xml:space="preserve"> Brown P. Incidence, D</w:t>
      </w:r>
      <w:r w:rsidRPr="00476ECB">
        <w:t>eterminants</w:t>
      </w:r>
      <w:r w:rsidR="00CC7C64">
        <w:t>,</w:t>
      </w:r>
      <w:r w:rsidRPr="00476ECB">
        <w:t xml:space="preserve"> and </w:t>
      </w:r>
      <w:r w:rsidR="00CC7C64">
        <w:t xml:space="preserve">the Transient Impact of Cancer Treatments on Venous Thromboembolism Risk among Lymphoma </w:t>
      </w:r>
      <w:r w:rsidR="00CC7C64">
        <w:lastRenderedPageBreak/>
        <w:t>P</w:t>
      </w:r>
      <w:r w:rsidRPr="00476ECB">
        <w:t>atients in Denmark. Thromb</w:t>
      </w:r>
      <w:r w:rsidR="002440E6">
        <w:t>osis</w:t>
      </w:r>
      <w:r w:rsidRPr="00476ECB">
        <w:t xml:space="preserve"> Res</w:t>
      </w:r>
      <w:r w:rsidR="002440E6">
        <w:t>earch</w:t>
      </w:r>
      <w:r w:rsidRPr="00476ECB">
        <w:t>. 2015 Nov;</w:t>
      </w:r>
      <w:r w:rsidR="00CC7C64">
        <w:t xml:space="preserve"> </w:t>
      </w:r>
      <w:r w:rsidRPr="00476ECB">
        <w:t xml:space="preserve">136(5):917-23. PMID: </w:t>
      </w:r>
      <w:hyperlink r:id="rId12" w:history="1">
        <w:r w:rsidRPr="008C275F">
          <w:t>26371409</w:t>
        </w:r>
      </w:hyperlink>
      <w:r w:rsidRPr="008C275F">
        <w:t xml:space="preserve">. </w:t>
      </w:r>
    </w:p>
    <w:p w14:paraId="2A8B2184" w14:textId="77777777" w:rsidR="00CC00F8" w:rsidRPr="00476ECB" w:rsidRDefault="000277EC" w:rsidP="00CC7C64">
      <w:pPr>
        <w:widowControl w:val="0"/>
        <w:numPr>
          <w:ilvl w:val="0"/>
          <w:numId w:val="2"/>
        </w:numPr>
        <w:spacing w:before="220"/>
        <w:ind w:left="375"/>
      </w:pPr>
      <w:r w:rsidRPr="00CC7C64">
        <w:rPr>
          <w:u w:val="single"/>
        </w:rPr>
        <w:t xml:space="preserve">Validation of </w:t>
      </w:r>
      <w:r w:rsidR="00CC7C64">
        <w:rPr>
          <w:u w:val="single"/>
        </w:rPr>
        <w:t>T</w:t>
      </w:r>
      <w:r w:rsidR="00FD346E" w:rsidRPr="00CC7C64">
        <w:rPr>
          <w:u w:val="single"/>
        </w:rPr>
        <w:t>reatment</w:t>
      </w:r>
      <w:r w:rsidRPr="00CC7C64">
        <w:rPr>
          <w:u w:val="single"/>
        </w:rPr>
        <w:t xml:space="preserve"> </w:t>
      </w:r>
      <w:r w:rsidR="00CC7C64">
        <w:rPr>
          <w:u w:val="single"/>
        </w:rPr>
        <w:t>and Health S</w:t>
      </w:r>
      <w:r w:rsidR="00FD346E" w:rsidRPr="00CC7C64">
        <w:rPr>
          <w:u w:val="single"/>
        </w:rPr>
        <w:t xml:space="preserve">tatus </w:t>
      </w:r>
      <w:r w:rsidR="00CC7C64">
        <w:rPr>
          <w:u w:val="single"/>
        </w:rPr>
        <w:t>Using Administrative Claims and Registry D</w:t>
      </w:r>
      <w:r w:rsidRPr="00CC7C64">
        <w:rPr>
          <w:u w:val="single"/>
        </w:rPr>
        <w:t>ata.</w:t>
      </w:r>
      <w:r w:rsidRPr="00476ECB">
        <w:t xml:space="preserve"> My research also assesses the validity of large administrative and registry data for identifying a variety of ca</w:t>
      </w:r>
      <w:r w:rsidR="00FD346E">
        <w:t xml:space="preserve">ncer treatments (e.g., </w:t>
      </w:r>
      <w:r w:rsidRPr="00476ECB">
        <w:t>surgery, radiation therapy, hormone therapy</w:t>
      </w:r>
      <w:r w:rsidR="007B6E98">
        <w:t>,</w:t>
      </w:r>
      <w:r w:rsidRPr="00476ECB">
        <w:t xml:space="preserve"> and chemotherapy</w:t>
      </w:r>
      <w:r w:rsidR="00FD346E">
        <w:t>) and measures of health status (e.g., comorbidity and frailty)</w:t>
      </w:r>
      <w:r w:rsidRPr="00476ECB">
        <w:t xml:space="preserve"> </w:t>
      </w:r>
      <w:r w:rsidR="00D71F8A">
        <w:t>among older adults</w:t>
      </w:r>
      <w:r w:rsidRPr="00476ECB">
        <w:t>. In the era of “big data,” these resources (and others, including electronics medical records) are increasingly being used to evaluate the dissemination, benefits</w:t>
      </w:r>
      <w:r w:rsidR="007B6E98">
        <w:t>,</w:t>
      </w:r>
      <w:r w:rsidRPr="00476ECB">
        <w:t xml:space="preserve"> and harms of cancer treatments in “real world” settings. However, misclassification </w:t>
      </w:r>
      <w:r w:rsidR="00D71F8A">
        <w:t xml:space="preserve">of exposures and confounders </w:t>
      </w:r>
      <w:r w:rsidRPr="00476ECB">
        <w:t>could bias estimates of frequency and association, warranting continued monitoring and validation, particularly as new therapies are introduced to the market.</w:t>
      </w:r>
    </w:p>
    <w:p w14:paraId="65F34E81" w14:textId="54B2F3DE" w:rsidR="00B267C1" w:rsidRDefault="00B267C1" w:rsidP="00D90FCE">
      <w:pPr>
        <w:pStyle w:val="ListParagraph"/>
        <w:widowControl w:val="0"/>
        <w:numPr>
          <w:ilvl w:val="0"/>
          <w:numId w:val="4"/>
        </w:numPr>
        <w:rPr>
          <w:rFonts w:eastAsia="Arial" w:cs="Arial"/>
          <w:szCs w:val="22"/>
          <w:bdr w:val="nil"/>
        </w:rPr>
      </w:pPr>
      <w:r w:rsidRPr="00B267C1">
        <w:rPr>
          <w:rFonts w:eastAsia="Arial" w:cs="Arial"/>
          <w:szCs w:val="22"/>
          <w:bdr w:val="nil"/>
        </w:rPr>
        <w:t>Mayer SE, Tan HJ, Peacock Hinton S, Sanoff HK, Stürmer T, Hester LL, Faurot KR, Jonsson Funk M, Lund JL</w:t>
      </w:r>
      <w:r>
        <w:rPr>
          <w:rFonts w:eastAsia="Arial" w:cs="Arial"/>
          <w:szCs w:val="22"/>
          <w:bdr w:val="nil"/>
        </w:rPr>
        <w:t xml:space="preserve">. </w:t>
      </w:r>
      <w:r w:rsidRPr="00B267C1">
        <w:rPr>
          <w:rFonts w:eastAsia="Arial" w:cs="Arial"/>
          <w:szCs w:val="22"/>
          <w:bdr w:val="nil"/>
        </w:rPr>
        <w:t xml:space="preserve">Comparison of Medicare Claims-based Proxy Measures of Poor Function and Associations </w:t>
      </w:r>
      <w:proofErr w:type="gramStart"/>
      <w:r w:rsidRPr="00B267C1">
        <w:rPr>
          <w:rFonts w:eastAsia="Arial" w:cs="Arial"/>
          <w:szCs w:val="22"/>
          <w:bdr w:val="nil"/>
        </w:rPr>
        <w:t>With</w:t>
      </w:r>
      <w:proofErr w:type="gramEnd"/>
      <w:r w:rsidRPr="00B267C1">
        <w:rPr>
          <w:rFonts w:eastAsia="Arial" w:cs="Arial"/>
          <w:szCs w:val="22"/>
          <w:bdr w:val="nil"/>
        </w:rPr>
        <w:t xml:space="preserve"> Treatment Receipt and Mortality in Older Colon Cancer Patients.</w:t>
      </w:r>
      <w:r>
        <w:rPr>
          <w:rFonts w:eastAsia="Arial" w:cs="Arial"/>
          <w:szCs w:val="22"/>
          <w:bdr w:val="nil"/>
        </w:rPr>
        <w:t xml:space="preserve"> </w:t>
      </w:r>
      <w:r w:rsidRPr="00B267C1">
        <w:rPr>
          <w:rFonts w:eastAsia="Arial" w:cs="Arial"/>
          <w:szCs w:val="22"/>
          <w:bdr w:val="nil"/>
        </w:rPr>
        <w:t>Med</w:t>
      </w:r>
      <w:r>
        <w:rPr>
          <w:rFonts w:eastAsia="Arial" w:cs="Arial"/>
          <w:szCs w:val="22"/>
          <w:bdr w:val="nil"/>
        </w:rPr>
        <w:t>ical</w:t>
      </w:r>
      <w:r w:rsidRPr="00B267C1">
        <w:rPr>
          <w:rFonts w:eastAsia="Arial" w:cs="Arial"/>
          <w:szCs w:val="22"/>
          <w:bdr w:val="nil"/>
        </w:rPr>
        <w:t xml:space="preserve"> Care. 2019 Apr;57(4):286-294</w:t>
      </w:r>
      <w:r>
        <w:rPr>
          <w:rFonts w:eastAsia="Arial" w:cs="Arial"/>
          <w:szCs w:val="22"/>
          <w:bdr w:val="nil"/>
        </w:rPr>
        <w:t xml:space="preserve">. </w:t>
      </w:r>
    </w:p>
    <w:p w14:paraId="36919CC5" w14:textId="428791DB" w:rsidR="00D71F8A" w:rsidRPr="00D90FCE" w:rsidRDefault="00D71F8A" w:rsidP="00D90FCE">
      <w:pPr>
        <w:pStyle w:val="ListParagraph"/>
        <w:widowControl w:val="0"/>
        <w:numPr>
          <w:ilvl w:val="0"/>
          <w:numId w:val="4"/>
        </w:numPr>
        <w:rPr>
          <w:rFonts w:eastAsia="Arial" w:cs="Arial"/>
          <w:szCs w:val="22"/>
          <w:bdr w:val="nil"/>
        </w:rPr>
      </w:pPr>
      <w:r w:rsidRPr="00D71F8A">
        <w:rPr>
          <w:rFonts w:eastAsia="Arial" w:cs="Arial"/>
          <w:szCs w:val="22"/>
          <w:bdr w:val="nil"/>
        </w:rPr>
        <w:t>Cuthbertson</w:t>
      </w:r>
      <w:r>
        <w:rPr>
          <w:rFonts w:eastAsia="Arial" w:cs="Arial"/>
          <w:szCs w:val="22"/>
          <w:bdr w:val="nil"/>
        </w:rPr>
        <w:t xml:space="preserve"> CC</w:t>
      </w:r>
      <w:r w:rsidRPr="00D71F8A">
        <w:rPr>
          <w:rFonts w:eastAsia="Arial" w:cs="Arial"/>
          <w:szCs w:val="22"/>
          <w:bdr w:val="nil"/>
        </w:rPr>
        <w:t>, Kucharska-Newton</w:t>
      </w:r>
      <w:r>
        <w:rPr>
          <w:rFonts w:eastAsia="Arial" w:cs="Arial"/>
          <w:szCs w:val="22"/>
          <w:bdr w:val="nil"/>
        </w:rPr>
        <w:t xml:space="preserve"> A</w:t>
      </w:r>
      <w:r w:rsidRPr="00D71F8A">
        <w:rPr>
          <w:rFonts w:eastAsia="Arial" w:cs="Arial"/>
          <w:szCs w:val="22"/>
          <w:bdr w:val="nil"/>
        </w:rPr>
        <w:t>, Faurot</w:t>
      </w:r>
      <w:r>
        <w:rPr>
          <w:rFonts w:eastAsia="Arial" w:cs="Arial"/>
          <w:szCs w:val="22"/>
          <w:bdr w:val="nil"/>
        </w:rPr>
        <w:t xml:space="preserve"> KR</w:t>
      </w:r>
      <w:r w:rsidRPr="00D71F8A">
        <w:rPr>
          <w:rFonts w:eastAsia="Arial" w:cs="Arial"/>
          <w:szCs w:val="22"/>
          <w:bdr w:val="nil"/>
        </w:rPr>
        <w:t xml:space="preserve">, </w:t>
      </w:r>
      <w:r>
        <w:rPr>
          <w:rFonts w:eastAsia="Arial" w:cs="Arial"/>
          <w:szCs w:val="22"/>
          <w:bdr w:val="nil"/>
        </w:rPr>
        <w:t>S</w:t>
      </w:r>
      <w:r w:rsidRPr="00D71F8A">
        <w:rPr>
          <w:rFonts w:eastAsia="Arial" w:cs="Arial"/>
          <w:szCs w:val="22"/>
          <w:bdr w:val="nil"/>
        </w:rPr>
        <w:t>türmer</w:t>
      </w:r>
      <w:r>
        <w:rPr>
          <w:rFonts w:eastAsia="Arial" w:cs="Arial"/>
          <w:szCs w:val="22"/>
          <w:bdr w:val="nil"/>
        </w:rPr>
        <w:t xml:space="preserve"> T</w:t>
      </w:r>
      <w:r w:rsidRPr="00D71F8A">
        <w:rPr>
          <w:rFonts w:eastAsia="Arial" w:cs="Arial"/>
          <w:szCs w:val="22"/>
          <w:bdr w:val="nil"/>
        </w:rPr>
        <w:t>,</w:t>
      </w:r>
      <w:r>
        <w:rPr>
          <w:rFonts w:eastAsia="Arial" w:cs="Arial"/>
          <w:szCs w:val="22"/>
          <w:bdr w:val="nil"/>
        </w:rPr>
        <w:t xml:space="preserve"> </w:t>
      </w:r>
      <w:r w:rsidRPr="00D71F8A">
        <w:rPr>
          <w:rFonts w:eastAsia="Arial" w:cs="Arial"/>
          <w:szCs w:val="22"/>
          <w:bdr w:val="nil"/>
        </w:rPr>
        <w:t>Funk</w:t>
      </w:r>
      <w:r>
        <w:rPr>
          <w:rFonts w:eastAsia="Arial" w:cs="Arial"/>
          <w:szCs w:val="22"/>
          <w:bdr w:val="nil"/>
        </w:rPr>
        <w:t xml:space="preserve"> MJ</w:t>
      </w:r>
      <w:r w:rsidRPr="00D71F8A">
        <w:rPr>
          <w:rFonts w:eastAsia="Arial" w:cs="Arial"/>
          <w:szCs w:val="22"/>
          <w:bdr w:val="nil"/>
        </w:rPr>
        <w:t>, Palta</w:t>
      </w:r>
      <w:r>
        <w:rPr>
          <w:rFonts w:eastAsia="Arial" w:cs="Arial"/>
          <w:szCs w:val="22"/>
          <w:bdr w:val="nil"/>
        </w:rPr>
        <w:t xml:space="preserve"> P</w:t>
      </w:r>
      <w:r w:rsidRPr="00D71F8A">
        <w:rPr>
          <w:rFonts w:eastAsia="Arial" w:cs="Arial"/>
          <w:szCs w:val="22"/>
          <w:bdr w:val="nil"/>
        </w:rPr>
        <w:t>, Windham</w:t>
      </w:r>
      <w:r>
        <w:rPr>
          <w:rFonts w:eastAsia="Arial" w:cs="Arial"/>
          <w:szCs w:val="22"/>
          <w:bdr w:val="nil"/>
        </w:rPr>
        <w:t xml:space="preserve"> BG</w:t>
      </w:r>
      <w:r w:rsidRPr="00D71F8A">
        <w:rPr>
          <w:rFonts w:eastAsia="Arial" w:cs="Arial"/>
          <w:szCs w:val="22"/>
          <w:bdr w:val="nil"/>
        </w:rPr>
        <w:t xml:space="preserve">, </w:t>
      </w:r>
      <w:r>
        <w:rPr>
          <w:rFonts w:eastAsia="Arial" w:cs="Arial"/>
          <w:szCs w:val="22"/>
          <w:bdr w:val="nil"/>
        </w:rPr>
        <w:t>Thai S</w:t>
      </w:r>
      <w:r w:rsidRPr="00D71F8A">
        <w:rPr>
          <w:rFonts w:eastAsia="Arial" w:cs="Arial"/>
          <w:szCs w:val="22"/>
          <w:bdr w:val="nil"/>
        </w:rPr>
        <w:t xml:space="preserve">, </w:t>
      </w:r>
      <w:r w:rsidRPr="008C275F">
        <w:rPr>
          <w:rFonts w:eastAsia="Arial" w:cs="Arial"/>
          <w:szCs w:val="22"/>
          <w:bdr w:val="nil"/>
        </w:rPr>
        <w:t>Lund JL</w:t>
      </w:r>
      <w:r>
        <w:rPr>
          <w:rFonts w:eastAsia="Arial" w:cs="Arial"/>
          <w:szCs w:val="22"/>
          <w:bdr w:val="nil"/>
        </w:rPr>
        <w:t>.</w:t>
      </w:r>
      <w:r w:rsidR="007B6E98">
        <w:rPr>
          <w:rFonts w:eastAsia="Arial" w:cs="Arial"/>
          <w:szCs w:val="22"/>
          <w:bdr w:val="nil"/>
        </w:rPr>
        <w:t xml:space="preserve"> Controlling for Frailty in Pharmacoepidemiologic and Comparative Effectiveness Studies of Older Adults: Validation of an Existing Medicare Claims-based A</w:t>
      </w:r>
      <w:r w:rsidRPr="00D71F8A">
        <w:rPr>
          <w:rFonts w:eastAsia="Arial" w:cs="Arial"/>
          <w:szCs w:val="22"/>
          <w:bdr w:val="nil"/>
        </w:rPr>
        <w:t>lgorithm</w:t>
      </w:r>
      <w:r>
        <w:rPr>
          <w:rFonts w:eastAsia="Arial" w:cs="Arial"/>
          <w:szCs w:val="22"/>
          <w:bdr w:val="nil"/>
        </w:rPr>
        <w:t xml:space="preserve">. Epidemiology </w:t>
      </w:r>
      <w:r w:rsidR="00BC4224" w:rsidRPr="00BC4224">
        <w:rPr>
          <w:rFonts w:eastAsia="Arial" w:cs="Arial"/>
          <w:szCs w:val="22"/>
          <w:bdr w:val="nil"/>
        </w:rPr>
        <w:t>2018 Jul;</w:t>
      </w:r>
      <w:r w:rsidR="007B6E98">
        <w:rPr>
          <w:rFonts w:eastAsia="Arial" w:cs="Arial"/>
          <w:szCs w:val="22"/>
          <w:bdr w:val="nil"/>
        </w:rPr>
        <w:t xml:space="preserve"> </w:t>
      </w:r>
      <w:r w:rsidR="00BC4224" w:rsidRPr="00BC4224">
        <w:rPr>
          <w:rFonts w:eastAsia="Arial" w:cs="Arial"/>
          <w:szCs w:val="22"/>
          <w:bdr w:val="nil"/>
        </w:rPr>
        <w:t>29(4):556-561</w:t>
      </w:r>
      <w:r>
        <w:rPr>
          <w:rFonts w:eastAsia="Arial" w:cs="Arial"/>
          <w:szCs w:val="22"/>
          <w:bdr w:val="nil"/>
        </w:rPr>
        <w:t>.</w:t>
      </w:r>
      <w:r w:rsidR="00BC4224">
        <w:rPr>
          <w:rFonts w:eastAsia="Arial" w:cs="Arial"/>
          <w:szCs w:val="22"/>
          <w:bdr w:val="nil"/>
        </w:rPr>
        <w:t xml:space="preserve"> PMID: </w:t>
      </w:r>
      <w:r w:rsidR="00BC4224" w:rsidRPr="008C275F">
        <w:rPr>
          <w:rFonts w:eastAsia="Arial" w:cs="Arial"/>
          <w:szCs w:val="22"/>
          <w:bdr w:val="nil"/>
        </w:rPr>
        <w:t>29621057</w:t>
      </w:r>
      <w:r w:rsidR="00D90FCE">
        <w:rPr>
          <w:rFonts w:eastAsia="Arial" w:cs="Arial"/>
          <w:szCs w:val="22"/>
          <w:bdr w:val="nil"/>
        </w:rPr>
        <w:t xml:space="preserve">, </w:t>
      </w:r>
      <w:r w:rsidR="00D90FCE" w:rsidRPr="00D90FCE">
        <w:rPr>
          <w:rFonts w:eastAsia="Arial" w:cs="Arial"/>
          <w:szCs w:val="22"/>
          <w:bdr w:val="nil"/>
        </w:rPr>
        <w:t>PMCID:</w:t>
      </w:r>
      <w:r w:rsidR="00D90FCE">
        <w:rPr>
          <w:rFonts w:eastAsia="Arial" w:cs="Arial"/>
          <w:szCs w:val="22"/>
          <w:bdr w:val="nil"/>
        </w:rPr>
        <w:t xml:space="preserve"> </w:t>
      </w:r>
      <w:r w:rsidR="00D90FCE" w:rsidRPr="00D90FCE">
        <w:rPr>
          <w:rFonts w:eastAsia="Arial" w:cs="Arial"/>
          <w:szCs w:val="22"/>
          <w:bdr w:val="nil"/>
        </w:rPr>
        <w:t>PMC5980766 [Available on 2019-07-01]</w:t>
      </w:r>
      <w:r w:rsidR="00BC4224" w:rsidRPr="00D90FCE">
        <w:rPr>
          <w:rFonts w:eastAsia="Arial" w:cs="Arial"/>
          <w:szCs w:val="22"/>
          <w:bdr w:val="nil"/>
        </w:rPr>
        <w:t>.</w:t>
      </w:r>
      <w:r w:rsidRPr="00D90FCE">
        <w:rPr>
          <w:rFonts w:eastAsia="Arial" w:cs="Arial"/>
          <w:szCs w:val="22"/>
          <w:bdr w:val="nil"/>
        </w:rPr>
        <w:t xml:space="preserve"> </w:t>
      </w:r>
    </w:p>
    <w:p w14:paraId="0B3806EA" w14:textId="77777777" w:rsidR="00211FA1" w:rsidRDefault="00211FA1" w:rsidP="00CC7C64">
      <w:pPr>
        <w:pStyle w:val="citationUlliParagraph"/>
        <w:widowControl w:val="0"/>
        <w:numPr>
          <w:ilvl w:val="0"/>
          <w:numId w:val="4"/>
        </w:numPr>
        <w:spacing w:after="0"/>
      </w:pPr>
      <w:r w:rsidRPr="008C275F">
        <w:t>Lund JL,</w:t>
      </w:r>
      <w:r w:rsidRPr="00476ECB">
        <w:t xml:space="preserve"> Stürmer T, Harlan LC, Sanoff HK, Sandler RS, Brookh</w:t>
      </w:r>
      <w:r w:rsidR="007B6E98">
        <w:t>art MA, Warren JL. Identifying Specific Chemotherapeutic Agents in Medicare Data: A Validation S</w:t>
      </w:r>
      <w:r w:rsidRPr="00476ECB">
        <w:t>tudy. Med</w:t>
      </w:r>
      <w:r w:rsidR="0010119A">
        <w:t>ical</w:t>
      </w:r>
      <w:r w:rsidRPr="00476ECB">
        <w:t xml:space="preserve"> Care. 2013 May;</w:t>
      </w:r>
      <w:r w:rsidR="007B6E98">
        <w:t xml:space="preserve"> </w:t>
      </w:r>
      <w:r w:rsidRPr="00476ECB">
        <w:t>51(5</w:t>
      </w:r>
      <w:proofErr w:type="gramStart"/>
      <w:r w:rsidRPr="00476ECB">
        <w:t>):e</w:t>
      </w:r>
      <w:proofErr w:type="gramEnd"/>
      <w:r w:rsidRPr="00476ECB">
        <w:t xml:space="preserve">27-34. PMID: </w:t>
      </w:r>
      <w:hyperlink r:id="rId13" w:history="1">
        <w:r w:rsidRPr="008C275F">
          <w:t>22080337</w:t>
        </w:r>
      </w:hyperlink>
      <w:r w:rsidR="00D90FCE">
        <w:t xml:space="preserve">, </w:t>
      </w:r>
      <w:r w:rsidRPr="00476ECB">
        <w:t xml:space="preserve">PMCID: </w:t>
      </w:r>
      <w:hyperlink r:id="rId14" w:history="1">
        <w:r w:rsidRPr="008C275F">
          <w:t>PMC3290707</w:t>
        </w:r>
      </w:hyperlink>
      <w:r w:rsidRPr="008C275F">
        <w:t xml:space="preserve">. </w:t>
      </w:r>
    </w:p>
    <w:p w14:paraId="7F6DEE36" w14:textId="77777777" w:rsidR="00D01778" w:rsidRDefault="00211FA1" w:rsidP="00CC7C64">
      <w:pPr>
        <w:pStyle w:val="citationUlliParagraph"/>
        <w:widowControl w:val="0"/>
        <w:numPr>
          <w:ilvl w:val="0"/>
          <w:numId w:val="4"/>
        </w:numPr>
        <w:spacing w:after="0"/>
      </w:pPr>
      <w:proofErr w:type="spellStart"/>
      <w:r w:rsidRPr="00476ECB">
        <w:t>Noone</w:t>
      </w:r>
      <w:proofErr w:type="spellEnd"/>
      <w:r w:rsidRPr="00476ECB">
        <w:t xml:space="preserve"> AM, </w:t>
      </w:r>
      <w:r w:rsidRPr="008C275F">
        <w:t>Lund JL,</w:t>
      </w:r>
      <w:r w:rsidRPr="00476ECB">
        <w:t xml:space="preserve"> </w:t>
      </w:r>
      <w:proofErr w:type="spellStart"/>
      <w:r w:rsidRPr="00476ECB">
        <w:t>Mariotto</w:t>
      </w:r>
      <w:proofErr w:type="spellEnd"/>
      <w:r w:rsidRPr="00476ECB">
        <w:t xml:space="preserve"> A, Cronin K, </w:t>
      </w:r>
      <w:proofErr w:type="spellStart"/>
      <w:r w:rsidRPr="00476ECB">
        <w:t>McNeel</w:t>
      </w:r>
      <w:proofErr w:type="spellEnd"/>
      <w:r w:rsidRPr="00476ECB">
        <w:t xml:space="preserve"> T, </w:t>
      </w:r>
      <w:proofErr w:type="spellStart"/>
      <w:r w:rsidRPr="00476ECB">
        <w:t>Deapen</w:t>
      </w:r>
      <w:proofErr w:type="spellEnd"/>
      <w:r w:rsidRPr="00476ECB">
        <w:t xml:space="preserve"> D, Warren JL. Com</w:t>
      </w:r>
      <w:r w:rsidR="007B6E98">
        <w:t>parison of SEER Treatment Data w</w:t>
      </w:r>
      <w:r w:rsidRPr="00476ECB">
        <w:t>ith</w:t>
      </w:r>
      <w:r>
        <w:t xml:space="preserve"> Medicare Claims. Med</w:t>
      </w:r>
      <w:r w:rsidR="0010119A">
        <w:t>ical</w:t>
      </w:r>
      <w:r>
        <w:t xml:space="preserve"> Care. </w:t>
      </w:r>
      <w:r w:rsidR="00642E34" w:rsidRPr="00642E34">
        <w:t>2016 Sep;</w:t>
      </w:r>
      <w:r w:rsidR="007B6E98">
        <w:t xml:space="preserve"> </w:t>
      </w:r>
      <w:r w:rsidR="00642E34" w:rsidRPr="00642E34">
        <w:t>54(9</w:t>
      </w:r>
      <w:proofErr w:type="gramStart"/>
      <w:r w:rsidR="00642E34" w:rsidRPr="00642E34">
        <w:t>):e</w:t>
      </w:r>
      <w:proofErr w:type="gramEnd"/>
      <w:r w:rsidR="00642E34" w:rsidRPr="00642E34">
        <w:t>55-64</w:t>
      </w:r>
      <w:r w:rsidR="00D90FCE">
        <w:t xml:space="preserve">. </w:t>
      </w:r>
      <w:r w:rsidRPr="00476ECB">
        <w:t xml:space="preserve">PMID: </w:t>
      </w:r>
      <w:hyperlink r:id="rId15" w:history="1">
        <w:r w:rsidRPr="008C275F">
          <w:t>24638121</w:t>
        </w:r>
      </w:hyperlink>
      <w:r w:rsidR="00D90FCE">
        <w:t xml:space="preserve">, </w:t>
      </w:r>
      <w:r w:rsidR="00642E34" w:rsidRPr="00642E34">
        <w:t>PMCID:</w:t>
      </w:r>
      <w:r w:rsidR="00642E34">
        <w:t xml:space="preserve"> </w:t>
      </w:r>
      <w:r w:rsidR="00642E34" w:rsidRPr="008C275F">
        <w:t>PMC4981219</w:t>
      </w:r>
      <w:r w:rsidRPr="008C275F">
        <w:t>.</w:t>
      </w:r>
      <w:r w:rsidR="000277EC" w:rsidRPr="008C275F">
        <w:t xml:space="preserve"> </w:t>
      </w:r>
    </w:p>
    <w:p w14:paraId="37587817" w14:textId="77777777" w:rsidR="00CC7C64" w:rsidRPr="00446F72" w:rsidRDefault="00CC7C64" w:rsidP="00CC7C64">
      <w:pPr>
        <w:pStyle w:val="citationUlliParagraph"/>
        <w:widowControl w:val="0"/>
        <w:spacing w:after="0"/>
        <w:ind w:left="720"/>
      </w:pPr>
    </w:p>
    <w:p w14:paraId="5803E88A" w14:textId="77777777" w:rsidR="00476ECB" w:rsidRPr="008C275F" w:rsidRDefault="00476ECB" w:rsidP="002C391D">
      <w:pPr>
        <w:widowControl w:val="0"/>
        <w:rPr>
          <w:b/>
          <w:u w:val="single"/>
        </w:rPr>
      </w:pPr>
      <w:r w:rsidRPr="00B731DD">
        <w:rPr>
          <w:b/>
          <w:u w:val="single"/>
        </w:rPr>
        <w:t>Complete List of Published Work in My Bibliography:</w:t>
      </w:r>
      <w:r w:rsidR="008C275F">
        <w:rPr>
          <w:b/>
          <w:u w:val="single"/>
        </w:rPr>
        <w:t xml:space="preserve"> </w:t>
      </w:r>
      <w:hyperlink r:id="rId16" w:history="1">
        <w:r w:rsidR="00A74F26" w:rsidRPr="00A74F26">
          <w:rPr>
            <w:color w:val="0000FF"/>
            <w:u w:val="single"/>
            <w:lang w:val="en"/>
          </w:rPr>
          <w:t>https://www.ncbi.nlm.nih.gov/sites/myncbi/1zIfcqiKRRckm/bibliography/40957013/public/?sort=date&amp;direction=ascending</w:t>
        </w:r>
      </w:hyperlink>
      <w:r w:rsidR="005614B0">
        <w:t xml:space="preserve"> </w:t>
      </w:r>
      <w:r w:rsidR="00A11AAD">
        <w:rPr>
          <w:lang w:val="en"/>
        </w:rPr>
        <w:t xml:space="preserve">  </w:t>
      </w:r>
    </w:p>
    <w:p w14:paraId="28FCDC56" w14:textId="77777777" w:rsidR="00CC00F8" w:rsidRDefault="007B6E98" w:rsidP="002C391D">
      <w:pPr>
        <w:pStyle w:val="Heading3"/>
        <w:widowControl w:val="0"/>
        <w:rPr>
          <w:rFonts w:ascii="Arial" w:eastAsia="Arial" w:hAnsi="Arial" w:cs="Arial"/>
          <w:sz w:val="22"/>
          <w:szCs w:val="22"/>
        </w:rPr>
      </w:pPr>
      <w:r>
        <w:rPr>
          <w:rFonts w:ascii="Arial" w:eastAsia="Arial" w:hAnsi="Arial" w:cs="Arial"/>
          <w:sz w:val="22"/>
          <w:szCs w:val="22"/>
        </w:rPr>
        <w:t>D. Additional Information: Research Support and/or Scholastic Performance</w:t>
      </w:r>
    </w:p>
    <w:p w14:paraId="079D9FCB" w14:textId="77777777" w:rsidR="007B6E98" w:rsidRPr="007B6E98" w:rsidRDefault="007B6E98" w:rsidP="007B6E98"/>
    <w:p w14:paraId="4507EC56" w14:textId="77777777" w:rsidR="00831992" w:rsidRDefault="007B6E98" w:rsidP="003C3D17">
      <w:pPr>
        <w:pStyle w:val="h3underline"/>
        <w:widowControl w:val="0"/>
        <w:spacing w:before="0"/>
        <w:rPr>
          <w:rFonts w:ascii="Arial" w:eastAsia="Arial" w:hAnsi="Arial" w:cs="Arial"/>
          <w:sz w:val="22"/>
          <w:szCs w:val="22"/>
        </w:rPr>
      </w:pPr>
      <w:r>
        <w:rPr>
          <w:rFonts w:ascii="Arial" w:eastAsia="Arial" w:hAnsi="Arial" w:cs="Arial"/>
          <w:sz w:val="22"/>
          <w:szCs w:val="22"/>
        </w:rPr>
        <w:t>Ongoing Research Support</w:t>
      </w:r>
    </w:p>
    <w:p w14:paraId="5C0284EB" w14:textId="77777777" w:rsidR="00831992" w:rsidRDefault="003C3D17" w:rsidP="003C3D17">
      <w:pPr>
        <w:pStyle w:val="h3underline"/>
        <w:widowControl w:val="0"/>
        <w:spacing w:before="0"/>
        <w:rPr>
          <w:rFonts w:ascii="Arial" w:eastAsia="Arial" w:hAnsi="Arial" w:cs="Arial"/>
          <w:b w:val="0"/>
          <w:sz w:val="22"/>
          <w:szCs w:val="22"/>
          <w:u w:val="none"/>
        </w:rPr>
      </w:pPr>
      <w:r w:rsidRPr="003C3D17">
        <w:rPr>
          <w:rFonts w:ascii="Arial" w:eastAsia="Arial" w:hAnsi="Arial" w:cs="Arial"/>
          <w:b w:val="0"/>
          <w:sz w:val="22"/>
          <w:szCs w:val="22"/>
          <w:u w:val="none"/>
        </w:rPr>
        <w:t>ME 2017C3-9337</w:t>
      </w:r>
      <w:r>
        <w:rPr>
          <w:rFonts w:ascii="Arial" w:eastAsia="Arial" w:hAnsi="Arial" w:cs="Arial"/>
          <w:b w:val="0"/>
          <w:sz w:val="22"/>
          <w:szCs w:val="22"/>
          <w:u w:val="none"/>
        </w:rPr>
        <w:tab/>
      </w:r>
      <w:r>
        <w:rPr>
          <w:rFonts w:ascii="Arial" w:eastAsia="Arial" w:hAnsi="Arial" w:cs="Arial"/>
          <w:b w:val="0"/>
          <w:sz w:val="22"/>
          <w:szCs w:val="22"/>
          <w:u w:val="none"/>
        </w:rPr>
        <w:tab/>
      </w:r>
      <w:r>
        <w:rPr>
          <w:rFonts w:ascii="Arial" w:eastAsia="Arial" w:hAnsi="Arial" w:cs="Arial"/>
          <w:b w:val="0"/>
          <w:sz w:val="22"/>
          <w:szCs w:val="22"/>
          <w:u w:val="none"/>
        </w:rPr>
        <w:tab/>
      </w:r>
      <w:r>
        <w:rPr>
          <w:rFonts w:ascii="Arial" w:eastAsia="Arial" w:hAnsi="Arial" w:cs="Arial"/>
          <w:b w:val="0"/>
          <w:sz w:val="22"/>
          <w:szCs w:val="22"/>
          <w:u w:val="none"/>
        </w:rPr>
        <w:tab/>
        <w:t>Lund (PI)</w:t>
      </w:r>
      <w:r>
        <w:rPr>
          <w:rFonts w:ascii="Arial" w:eastAsia="Arial" w:hAnsi="Arial" w:cs="Arial"/>
          <w:b w:val="0"/>
          <w:sz w:val="22"/>
          <w:szCs w:val="22"/>
          <w:u w:val="none"/>
        </w:rPr>
        <w:tab/>
      </w:r>
      <w:r>
        <w:rPr>
          <w:rFonts w:ascii="Arial" w:eastAsia="Arial" w:hAnsi="Arial" w:cs="Arial"/>
          <w:b w:val="0"/>
          <w:sz w:val="22"/>
          <w:szCs w:val="22"/>
          <w:u w:val="none"/>
        </w:rPr>
        <w:tab/>
      </w:r>
      <w:r>
        <w:rPr>
          <w:rFonts w:ascii="Arial" w:eastAsia="Arial" w:hAnsi="Arial" w:cs="Arial"/>
          <w:b w:val="0"/>
          <w:sz w:val="22"/>
          <w:szCs w:val="22"/>
          <w:u w:val="none"/>
        </w:rPr>
        <w:tab/>
      </w:r>
      <w:r>
        <w:rPr>
          <w:rFonts w:ascii="Arial" w:eastAsia="Arial" w:hAnsi="Arial" w:cs="Arial"/>
          <w:b w:val="0"/>
          <w:sz w:val="22"/>
          <w:szCs w:val="22"/>
          <w:u w:val="none"/>
        </w:rPr>
        <w:tab/>
        <w:t xml:space="preserve">   </w:t>
      </w:r>
      <w:r w:rsidR="007B6E98">
        <w:rPr>
          <w:rFonts w:ascii="Arial" w:eastAsia="Arial" w:hAnsi="Arial" w:cs="Arial"/>
          <w:b w:val="0"/>
          <w:sz w:val="22"/>
          <w:szCs w:val="22"/>
          <w:u w:val="none"/>
        </w:rPr>
        <w:t xml:space="preserve">    </w:t>
      </w:r>
      <w:r>
        <w:rPr>
          <w:rFonts w:ascii="Arial" w:eastAsia="Arial" w:hAnsi="Arial" w:cs="Arial"/>
          <w:b w:val="0"/>
          <w:sz w:val="22"/>
          <w:szCs w:val="22"/>
          <w:u w:val="none"/>
        </w:rPr>
        <w:t xml:space="preserve"> </w:t>
      </w:r>
      <w:r w:rsidR="00167D17">
        <w:rPr>
          <w:rFonts w:ascii="Arial" w:eastAsia="Arial" w:hAnsi="Arial" w:cs="Arial"/>
          <w:b w:val="0"/>
          <w:sz w:val="22"/>
          <w:szCs w:val="22"/>
          <w:u w:val="none"/>
        </w:rPr>
        <w:t xml:space="preserve"> </w:t>
      </w:r>
      <w:r>
        <w:rPr>
          <w:rFonts w:ascii="Arial" w:eastAsia="Arial" w:hAnsi="Arial" w:cs="Arial"/>
          <w:b w:val="0"/>
          <w:sz w:val="22"/>
          <w:szCs w:val="22"/>
          <w:u w:val="none"/>
        </w:rPr>
        <w:t xml:space="preserve"> </w:t>
      </w:r>
      <w:r w:rsidR="007B6E98">
        <w:rPr>
          <w:rFonts w:ascii="Arial" w:eastAsia="Arial" w:hAnsi="Arial" w:cs="Arial"/>
          <w:b w:val="0"/>
          <w:sz w:val="22"/>
          <w:szCs w:val="22"/>
          <w:u w:val="none"/>
        </w:rPr>
        <w:t>03/01/19-06/01/</w:t>
      </w:r>
      <w:r>
        <w:rPr>
          <w:rFonts w:ascii="Arial" w:eastAsia="Arial" w:hAnsi="Arial" w:cs="Arial"/>
          <w:b w:val="0"/>
          <w:sz w:val="22"/>
          <w:szCs w:val="22"/>
          <w:u w:val="none"/>
        </w:rPr>
        <w:t>22</w:t>
      </w:r>
    </w:p>
    <w:p w14:paraId="67B217DD" w14:textId="77777777" w:rsidR="003C3D17" w:rsidRPr="007B6E98" w:rsidRDefault="003C3D17" w:rsidP="003C3D17">
      <w:pPr>
        <w:pStyle w:val="h3underline"/>
        <w:widowControl w:val="0"/>
        <w:spacing w:before="0"/>
        <w:rPr>
          <w:rFonts w:ascii="Arial" w:eastAsia="Arial" w:hAnsi="Arial" w:cs="Arial"/>
          <w:b w:val="0"/>
          <w:sz w:val="22"/>
          <w:szCs w:val="22"/>
          <w:u w:val="none"/>
        </w:rPr>
      </w:pPr>
      <w:r w:rsidRPr="007B6E98">
        <w:rPr>
          <w:rFonts w:ascii="Arial" w:eastAsia="Arial" w:hAnsi="Arial" w:cs="Arial"/>
          <w:b w:val="0"/>
          <w:sz w:val="22"/>
          <w:szCs w:val="22"/>
          <w:u w:val="none"/>
        </w:rPr>
        <w:t xml:space="preserve">Enhancing hybrid study designs for comparative effectiveness research </w:t>
      </w:r>
    </w:p>
    <w:p w14:paraId="364A7A16" w14:textId="77777777" w:rsidR="00A82413" w:rsidRDefault="00A82413" w:rsidP="003C3D17">
      <w:pPr>
        <w:pStyle w:val="h3underline"/>
        <w:widowControl w:val="0"/>
        <w:spacing w:before="0"/>
        <w:rPr>
          <w:rFonts w:ascii="Arial" w:eastAsia="Arial" w:hAnsi="Arial" w:cs="Arial"/>
          <w:b w:val="0"/>
          <w:sz w:val="22"/>
          <w:szCs w:val="22"/>
          <w:u w:val="none"/>
        </w:rPr>
      </w:pPr>
      <w:r>
        <w:rPr>
          <w:rFonts w:ascii="Arial" w:eastAsia="Arial" w:hAnsi="Arial" w:cs="Arial"/>
          <w:b w:val="0"/>
          <w:sz w:val="22"/>
          <w:szCs w:val="22"/>
          <w:u w:val="none"/>
        </w:rPr>
        <w:t xml:space="preserve">To develop methods and guidance that inform the design and analysis of hybrid studies that use both randomized clinical trial and observational data for comparative effectiveness research. </w:t>
      </w:r>
    </w:p>
    <w:p w14:paraId="623A810C" w14:textId="77777777" w:rsidR="003C3D17" w:rsidRPr="003C3D17" w:rsidRDefault="00A82413" w:rsidP="003C3D17">
      <w:pPr>
        <w:pStyle w:val="h3underline"/>
        <w:widowControl w:val="0"/>
        <w:spacing w:before="0"/>
        <w:rPr>
          <w:rFonts w:ascii="Arial" w:eastAsia="Arial" w:hAnsi="Arial" w:cs="Arial"/>
          <w:b w:val="0"/>
          <w:sz w:val="22"/>
          <w:szCs w:val="22"/>
          <w:u w:val="none"/>
        </w:rPr>
      </w:pPr>
      <w:r>
        <w:rPr>
          <w:rFonts w:ascii="Arial" w:eastAsia="Arial" w:hAnsi="Arial" w:cs="Arial"/>
          <w:b w:val="0"/>
          <w:sz w:val="22"/>
          <w:szCs w:val="22"/>
          <w:u w:val="none"/>
        </w:rPr>
        <w:t xml:space="preserve">Role: Principal Investigator </w:t>
      </w:r>
    </w:p>
    <w:p w14:paraId="79758824" w14:textId="77777777" w:rsidR="007B6E98" w:rsidRDefault="007B6E98" w:rsidP="002C391D">
      <w:pPr>
        <w:widowControl w:val="0"/>
        <w:spacing w:line="300" w:lineRule="atLeast"/>
      </w:pPr>
    </w:p>
    <w:p w14:paraId="2CF4C4AA" w14:textId="77777777" w:rsidR="008F3C74" w:rsidRDefault="008F3C74" w:rsidP="002C391D">
      <w:pPr>
        <w:widowControl w:val="0"/>
        <w:spacing w:line="300" w:lineRule="atLeast"/>
      </w:pPr>
      <w:r w:rsidRPr="00787FBF">
        <w:t>R</w:t>
      </w:r>
      <w:r>
        <w:t>01</w:t>
      </w:r>
      <w:r w:rsidRPr="00787FBF">
        <w:t xml:space="preserve"> </w:t>
      </w:r>
      <w:r>
        <w:t>AG056479</w:t>
      </w:r>
      <w:r w:rsidRPr="00787FBF">
        <w:tab/>
      </w:r>
      <w:r>
        <w:tab/>
      </w:r>
      <w:r>
        <w:tab/>
      </w:r>
      <w:r>
        <w:tab/>
        <w:t>Stürmer (PI)</w:t>
      </w:r>
      <w:r>
        <w:tab/>
      </w:r>
      <w:r>
        <w:tab/>
      </w:r>
      <w:r>
        <w:tab/>
        <w:t xml:space="preserve">    </w:t>
      </w:r>
      <w:r>
        <w:tab/>
        <w:t xml:space="preserve">   </w:t>
      </w:r>
      <w:r w:rsidR="007B6E98">
        <w:t xml:space="preserve">    </w:t>
      </w:r>
      <w:r>
        <w:t xml:space="preserve"> </w:t>
      </w:r>
      <w:r w:rsidR="00167D17">
        <w:t xml:space="preserve"> </w:t>
      </w:r>
      <w:r>
        <w:t xml:space="preserve"> 09/15</w:t>
      </w:r>
      <w:r w:rsidR="007B6E98">
        <w:t>/</w:t>
      </w:r>
      <w:r w:rsidRPr="008329FD">
        <w:t>1</w:t>
      </w:r>
      <w:r>
        <w:t>7-04</w:t>
      </w:r>
      <w:r w:rsidRPr="008329FD">
        <w:t>/</w:t>
      </w:r>
      <w:r w:rsidR="007B6E98">
        <w:t>30/</w:t>
      </w:r>
      <w:r>
        <w:t>21</w:t>
      </w:r>
    </w:p>
    <w:p w14:paraId="452983B3" w14:textId="77777777" w:rsidR="008F3C74" w:rsidRPr="007B6E98" w:rsidRDefault="008F3C74" w:rsidP="002C391D">
      <w:pPr>
        <w:widowControl w:val="0"/>
        <w:spacing w:line="300" w:lineRule="atLeast"/>
      </w:pPr>
      <w:r w:rsidRPr="007B6E98">
        <w:t>Propensity scores and preventive drug use in the elderly</w:t>
      </w:r>
    </w:p>
    <w:p w14:paraId="64AE50FA" w14:textId="77777777" w:rsidR="008F3C74" w:rsidRPr="00787FBF" w:rsidRDefault="008F3C74" w:rsidP="002C391D">
      <w:pPr>
        <w:widowControl w:val="0"/>
        <w:tabs>
          <w:tab w:val="left" w:pos="4320"/>
          <w:tab w:val="left" w:pos="7200"/>
        </w:tabs>
      </w:pPr>
      <w:r w:rsidRPr="00787FBF">
        <w:t>Insights into and development of different novel analytic strategies to control for selection and confounding bias in non-experimental research based on propensity scores and validation data.</w:t>
      </w:r>
    </w:p>
    <w:p w14:paraId="0E6576B1" w14:textId="77777777" w:rsidR="007B6E98" w:rsidRDefault="008F3C74" w:rsidP="007B6E98">
      <w:pPr>
        <w:widowControl w:val="0"/>
        <w:tabs>
          <w:tab w:val="left" w:pos="4320"/>
          <w:tab w:val="left" w:pos="7200"/>
        </w:tabs>
      </w:pPr>
      <w:r w:rsidRPr="00787FBF">
        <w:t xml:space="preserve">Role:  </w:t>
      </w:r>
      <w:r w:rsidRPr="00476ECB">
        <w:t>Co-Investigator</w:t>
      </w:r>
    </w:p>
    <w:p w14:paraId="65871F0B" w14:textId="77777777" w:rsidR="007B6E98" w:rsidRDefault="007B6E98" w:rsidP="007B6E98">
      <w:pPr>
        <w:widowControl w:val="0"/>
        <w:tabs>
          <w:tab w:val="left" w:pos="4320"/>
          <w:tab w:val="left" w:pos="7200"/>
        </w:tabs>
      </w:pPr>
    </w:p>
    <w:p w14:paraId="0BBED26C" w14:textId="16DDCF6E" w:rsidR="002A4C96" w:rsidRPr="00476ECB" w:rsidRDefault="001569D5" w:rsidP="007B6E98">
      <w:pPr>
        <w:widowControl w:val="0"/>
        <w:tabs>
          <w:tab w:val="left" w:pos="4320"/>
          <w:tab w:val="left" w:pos="7200"/>
        </w:tabs>
      </w:pPr>
      <w:r w:rsidRPr="001569D5">
        <w:t>R01AG050733</w:t>
      </w:r>
      <w:r w:rsidR="002A4C96" w:rsidRPr="00476ECB">
        <w:t>-</w:t>
      </w:r>
      <w:r w:rsidRPr="001569D5">
        <w:t>01A</w:t>
      </w:r>
      <w:proofErr w:type="gramStart"/>
      <w:r w:rsidRPr="001569D5">
        <w:t>1</w:t>
      </w:r>
      <w:r w:rsidR="00B33EBF">
        <w:t xml:space="preserve"> </w:t>
      </w:r>
      <w:r w:rsidR="002A4C96" w:rsidRPr="00476ECB">
        <w:t xml:space="preserve"> </w:t>
      </w:r>
      <w:r w:rsidR="007B6E98">
        <w:tab/>
      </w:r>
      <w:proofErr w:type="gramEnd"/>
      <w:r w:rsidR="007B6E98">
        <w:t>Trogdon (PI)</w:t>
      </w:r>
      <w:r w:rsidR="007B6E98">
        <w:tab/>
      </w:r>
      <w:r w:rsidR="007B6E98">
        <w:tab/>
        <w:t xml:space="preserve">     </w:t>
      </w:r>
      <w:r w:rsidR="002A4C96">
        <w:t xml:space="preserve">    </w:t>
      </w:r>
      <w:r w:rsidR="002A4C96" w:rsidRPr="00476ECB">
        <w:t>01/01/16-</w:t>
      </w:r>
      <w:r w:rsidR="00B267C1">
        <w:t>05</w:t>
      </w:r>
      <w:r w:rsidR="007B6E98">
        <w:t>/31/</w:t>
      </w:r>
      <w:r w:rsidR="00B267C1">
        <w:t>20</w:t>
      </w:r>
    </w:p>
    <w:p w14:paraId="329B4284" w14:textId="77777777" w:rsidR="001569D5" w:rsidRPr="007B6E98" w:rsidRDefault="001569D5" w:rsidP="002C391D">
      <w:pPr>
        <w:pStyle w:val="projectDescription"/>
        <w:widowControl w:val="0"/>
        <w:spacing w:line="300" w:lineRule="atLeast"/>
      </w:pPr>
      <w:r w:rsidRPr="007B6E98">
        <w:t>Cancer, Care Coordination, and Medication Use for Multiple Chronic Conditions</w:t>
      </w:r>
    </w:p>
    <w:p w14:paraId="09538E29" w14:textId="77777777" w:rsidR="00735AA9" w:rsidRDefault="001569D5" w:rsidP="002C391D">
      <w:pPr>
        <w:widowControl w:val="0"/>
        <w:spacing w:line="300" w:lineRule="atLeast"/>
      </w:pPr>
      <w:r w:rsidRPr="001569D5">
        <w:t xml:space="preserve">The goal of this study is to investigate the management of MCC among cancer patients diagnosed after the age of 65 compared with cancer-free patients. This study will analyze complex older patients with diabetes, hyperlipidemia, and/or hypertension diagnosed with the four most common cancers. </w:t>
      </w:r>
    </w:p>
    <w:p w14:paraId="658163F4" w14:textId="77777777" w:rsidR="007B6E98" w:rsidRDefault="002A4C96" w:rsidP="007B6E98">
      <w:pPr>
        <w:widowControl w:val="0"/>
        <w:spacing w:line="300" w:lineRule="atLeast"/>
      </w:pPr>
      <w:r w:rsidRPr="00476ECB">
        <w:t>Role: Co-Investigator</w:t>
      </w:r>
    </w:p>
    <w:p w14:paraId="2FE47629" w14:textId="77777777" w:rsidR="007B6E98" w:rsidRDefault="007B6E98" w:rsidP="007B6E98">
      <w:pPr>
        <w:widowControl w:val="0"/>
        <w:spacing w:line="300" w:lineRule="atLeast"/>
      </w:pPr>
    </w:p>
    <w:p w14:paraId="0F40DE16" w14:textId="77777777" w:rsidR="00CC00F8" w:rsidRPr="00476ECB" w:rsidRDefault="000277EC" w:rsidP="002C391D">
      <w:pPr>
        <w:pStyle w:val="h3underline"/>
        <w:widowControl w:val="0"/>
        <w:rPr>
          <w:sz w:val="22"/>
          <w:szCs w:val="22"/>
        </w:rPr>
      </w:pPr>
      <w:r w:rsidRPr="00476ECB">
        <w:rPr>
          <w:rFonts w:ascii="Arial" w:eastAsia="Arial" w:hAnsi="Arial" w:cs="Arial"/>
          <w:sz w:val="22"/>
          <w:szCs w:val="22"/>
        </w:rPr>
        <w:t>Completed Research Support</w:t>
      </w:r>
    </w:p>
    <w:p w14:paraId="14D0C305" w14:textId="77777777" w:rsidR="00B267C1" w:rsidRPr="00476ECB" w:rsidRDefault="00B267C1" w:rsidP="00B267C1">
      <w:pPr>
        <w:widowControl w:val="0"/>
        <w:spacing w:line="300" w:lineRule="atLeast"/>
      </w:pPr>
      <w:r>
        <w:t>1R21CA191454-01A1</w:t>
      </w:r>
      <w:r w:rsidRPr="00476ECB">
        <w:t xml:space="preserve"> </w:t>
      </w:r>
      <w:r>
        <w:tab/>
      </w:r>
      <w:r>
        <w:tab/>
      </w:r>
      <w:r>
        <w:tab/>
        <w:t xml:space="preserve">Lewis (PI) </w:t>
      </w:r>
      <w:r>
        <w:tab/>
      </w:r>
      <w:r>
        <w:tab/>
      </w:r>
      <w:r>
        <w:tab/>
      </w:r>
      <w:r>
        <w:tab/>
        <w:t xml:space="preserve">         </w:t>
      </w:r>
      <w:r w:rsidRPr="00476ECB">
        <w:t>01/01/16-12/31/1</w:t>
      </w:r>
      <w:r>
        <w:t>8</w:t>
      </w:r>
    </w:p>
    <w:p w14:paraId="27D653CF" w14:textId="77777777" w:rsidR="00B267C1" w:rsidRPr="007B6E98" w:rsidRDefault="00B267C1" w:rsidP="00B267C1">
      <w:pPr>
        <w:widowControl w:val="0"/>
        <w:spacing w:line="300" w:lineRule="atLeast"/>
      </w:pPr>
      <w:r w:rsidRPr="007B6E98">
        <w:lastRenderedPageBreak/>
        <w:t>Improving Targeted Colorectal Cancer Screening in the Elderly</w:t>
      </w:r>
    </w:p>
    <w:p w14:paraId="645A007E" w14:textId="77777777" w:rsidR="00B267C1" w:rsidRPr="00476ECB" w:rsidRDefault="00B267C1" w:rsidP="00B267C1">
      <w:pPr>
        <w:pStyle w:val="projectDescription"/>
        <w:widowControl w:val="0"/>
        <w:spacing w:line="300" w:lineRule="atLeast"/>
      </w:pPr>
      <w:r>
        <w:t xml:space="preserve">This study will use </w:t>
      </w:r>
      <w:r w:rsidRPr="00476ECB">
        <w:t>North Carolina Medicare claims data to better identify older adults who are unlikely to benefit from colorectal cancer screening.</w:t>
      </w:r>
    </w:p>
    <w:p w14:paraId="6BD1C8DF" w14:textId="77777777" w:rsidR="00B267C1" w:rsidRDefault="00B267C1" w:rsidP="00B267C1">
      <w:pPr>
        <w:widowControl w:val="0"/>
        <w:spacing w:line="300" w:lineRule="atLeast"/>
      </w:pPr>
      <w:r w:rsidRPr="00476ECB">
        <w:t xml:space="preserve">Role: </w:t>
      </w:r>
      <w:r>
        <w:t xml:space="preserve">Site Principal Investigator </w:t>
      </w:r>
    </w:p>
    <w:p w14:paraId="6A1410D0" w14:textId="77777777" w:rsidR="00B267C1" w:rsidRDefault="00B267C1" w:rsidP="00B267C1">
      <w:pPr>
        <w:widowControl w:val="0"/>
        <w:spacing w:line="300" w:lineRule="atLeast"/>
      </w:pPr>
    </w:p>
    <w:p w14:paraId="1ED5FADE" w14:textId="77777777" w:rsidR="00B267C1" w:rsidRDefault="00B267C1" w:rsidP="00B267C1">
      <w:pPr>
        <w:widowControl w:val="0"/>
        <w:spacing w:line="300" w:lineRule="atLeast"/>
      </w:pPr>
      <w:proofErr w:type="spellStart"/>
      <w:r>
        <w:t>Lineberger</w:t>
      </w:r>
      <w:proofErr w:type="spellEnd"/>
      <w:r>
        <w:t xml:space="preserve"> Comprehensive Cancer Center Developmental Grant      Lund (</w:t>
      </w:r>
      <w:proofErr w:type="gramStart"/>
      <w:r>
        <w:t xml:space="preserve">PI)   </w:t>
      </w:r>
      <w:proofErr w:type="gramEnd"/>
      <w:r>
        <w:t xml:space="preserve">           01/01/18-12/31/18                                         </w:t>
      </w:r>
    </w:p>
    <w:p w14:paraId="1205E16E" w14:textId="77777777" w:rsidR="00B267C1" w:rsidRPr="007B6E98" w:rsidRDefault="00B267C1" w:rsidP="00B267C1">
      <w:pPr>
        <w:pStyle w:val="sectionFundingfundDetailsmyncbiAwardpiName"/>
        <w:widowControl w:val="0"/>
        <w:spacing w:line="300" w:lineRule="atLeast"/>
        <w:ind w:right="300"/>
      </w:pPr>
      <w:r w:rsidRPr="007B6E98">
        <w:t>A multi-database approach to evaluating targeted therapy utilization, sequencing, and adherence in patients diagnosed with metastatic renal cell carcinoma (</w:t>
      </w:r>
      <w:proofErr w:type="spellStart"/>
      <w:r w:rsidRPr="007B6E98">
        <w:t>mRCC</w:t>
      </w:r>
      <w:proofErr w:type="spellEnd"/>
      <w:r w:rsidRPr="007B6E98">
        <w:t>)</w:t>
      </w:r>
    </w:p>
    <w:p w14:paraId="06A5F715" w14:textId="77777777" w:rsidR="00B267C1" w:rsidRDefault="00B267C1" w:rsidP="00B267C1">
      <w:pPr>
        <w:pStyle w:val="sectionFundingfundDetailsmyncbiAwardpiName"/>
        <w:widowControl w:val="0"/>
        <w:spacing w:line="300" w:lineRule="atLeast"/>
        <w:ind w:right="300"/>
      </w:pPr>
      <w:r>
        <w:t xml:space="preserve">This study will investigate the </w:t>
      </w:r>
      <w:r w:rsidRPr="007C0167">
        <w:t xml:space="preserve">real-world utilization, sequencing, and adherence to targeted therapies for </w:t>
      </w:r>
      <w:proofErr w:type="spellStart"/>
      <w:r w:rsidRPr="007C0167">
        <w:t>mRCC</w:t>
      </w:r>
      <w:proofErr w:type="spellEnd"/>
      <w:r>
        <w:t xml:space="preserve"> by pooling information from large healthcare databases in the United States. </w:t>
      </w:r>
    </w:p>
    <w:p w14:paraId="280483FF" w14:textId="77777777" w:rsidR="00B267C1" w:rsidRDefault="00B267C1" w:rsidP="00B267C1">
      <w:pPr>
        <w:pStyle w:val="sectionFundingfundDetailsmyncbiAwardpiName"/>
        <w:widowControl w:val="0"/>
        <w:spacing w:line="300" w:lineRule="atLeast"/>
        <w:ind w:right="300"/>
      </w:pPr>
      <w:r>
        <w:t>Role: Principal Investigator</w:t>
      </w:r>
    </w:p>
    <w:p w14:paraId="50489D49" w14:textId="77777777" w:rsidR="00B267C1" w:rsidRDefault="00B267C1" w:rsidP="00B267C1">
      <w:pPr>
        <w:pStyle w:val="sectionFundingfundDetailsmyncbiAwardpiName"/>
        <w:widowControl w:val="0"/>
        <w:spacing w:line="300" w:lineRule="atLeast"/>
        <w:ind w:right="300"/>
      </w:pPr>
    </w:p>
    <w:p w14:paraId="0CC6D695" w14:textId="77777777" w:rsidR="00B267C1" w:rsidRDefault="00B267C1" w:rsidP="00B267C1">
      <w:pPr>
        <w:pStyle w:val="sectionFundingfundDetailsmyncbiAwardpiName"/>
        <w:widowControl w:val="0"/>
        <w:spacing w:line="300" w:lineRule="atLeast"/>
        <w:ind w:right="300"/>
      </w:pPr>
      <w:r w:rsidRPr="007B6E98">
        <w:t xml:space="preserve">IBM </w:t>
      </w:r>
      <w:r>
        <w:t>Junior Faculty Development Award                Lund (</w:t>
      </w:r>
      <w:proofErr w:type="gramStart"/>
      <w:r>
        <w:t xml:space="preserve">PI)   </w:t>
      </w:r>
      <w:proofErr w:type="gramEnd"/>
      <w:r>
        <w:t xml:space="preserve">                                         01/01/18-12/31/18                                         </w:t>
      </w:r>
    </w:p>
    <w:p w14:paraId="4322DC88" w14:textId="77777777" w:rsidR="00B267C1" w:rsidRPr="007B6E98" w:rsidRDefault="00B267C1" w:rsidP="00B267C1">
      <w:pPr>
        <w:pStyle w:val="sectionFundingfundDetailsmyncbiAwardpiName"/>
        <w:widowControl w:val="0"/>
        <w:spacing w:line="300" w:lineRule="atLeast"/>
        <w:ind w:right="300"/>
      </w:pPr>
      <w:r w:rsidRPr="007B6E98">
        <w:t>Investigating the effects of potential drug-chemotherapy interactions among older adults diagnosed with breast and colon cancer</w:t>
      </w:r>
    </w:p>
    <w:p w14:paraId="2B733569" w14:textId="77777777" w:rsidR="00B267C1" w:rsidRDefault="00B267C1" w:rsidP="00B267C1">
      <w:pPr>
        <w:pStyle w:val="sectionFundingfundDetailsmyncbiAwardpiName"/>
        <w:widowControl w:val="0"/>
        <w:spacing w:line="300" w:lineRule="atLeast"/>
        <w:ind w:right="300"/>
      </w:pPr>
      <w:r>
        <w:t>This study will</w:t>
      </w:r>
      <w:r w:rsidRPr="007C0167">
        <w:t xml:space="preserve"> evaluate the association between concomitant </w:t>
      </w:r>
      <w:r>
        <w:t>hydrochlorothiazide</w:t>
      </w:r>
      <w:r w:rsidRPr="007C0167">
        <w:t xml:space="preserve"> exposure and neutropenia-related hospitalizations </w:t>
      </w:r>
      <w:r>
        <w:t>in</w:t>
      </w:r>
      <w:r w:rsidRPr="007C0167">
        <w:t xml:space="preserve">: (1) </w:t>
      </w:r>
      <w:r>
        <w:t>breast</w:t>
      </w:r>
      <w:r w:rsidRPr="007C0167">
        <w:t xml:space="preserve"> cancer patients initiating chemotherapy containing cyclophosphamide and (2) colon cancer patients initiating chemotherapy containing </w:t>
      </w:r>
      <w:r>
        <w:t>5-fluorouracil</w:t>
      </w:r>
      <w:r w:rsidRPr="007C0167">
        <w:t>.</w:t>
      </w:r>
    </w:p>
    <w:p w14:paraId="7DD4B51D" w14:textId="77777777" w:rsidR="00B267C1" w:rsidRPr="00476ECB" w:rsidRDefault="00B267C1" w:rsidP="00B267C1">
      <w:pPr>
        <w:pStyle w:val="sectionFundingfundDetailsmyncbiAwardpiName"/>
        <w:widowControl w:val="0"/>
        <w:spacing w:line="300" w:lineRule="atLeast"/>
        <w:ind w:right="300"/>
      </w:pPr>
      <w:r>
        <w:t>Role: Principal Investigator</w:t>
      </w:r>
    </w:p>
    <w:p w14:paraId="625A6E4D" w14:textId="77777777" w:rsidR="00B267C1" w:rsidRDefault="00B267C1" w:rsidP="002C391D">
      <w:pPr>
        <w:pStyle w:val="sectionFundingfundDetailsmyncbiAwardpiName"/>
        <w:widowControl w:val="0"/>
        <w:spacing w:line="300" w:lineRule="atLeast"/>
        <w:ind w:right="300"/>
      </w:pPr>
    </w:p>
    <w:p w14:paraId="4694B427" w14:textId="64350DAC" w:rsidR="007C0167" w:rsidRDefault="007B6E98" w:rsidP="002C391D">
      <w:pPr>
        <w:pStyle w:val="sectionFundingfundDetailsmyncbiAwardpiName"/>
        <w:widowControl w:val="0"/>
        <w:spacing w:line="300" w:lineRule="atLeast"/>
        <w:ind w:right="300"/>
      </w:pPr>
      <w:proofErr w:type="spellStart"/>
      <w:r>
        <w:t>Lineberger</w:t>
      </w:r>
      <w:proofErr w:type="spellEnd"/>
      <w:r>
        <w:t xml:space="preserve"> Comprehensive Cancer Center Developmental Grant      </w:t>
      </w:r>
      <w:r w:rsidR="007C0167">
        <w:t>Lund (</w:t>
      </w:r>
      <w:proofErr w:type="gramStart"/>
      <w:r w:rsidR="007C0167">
        <w:t xml:space="preserve">PI)   </w:t>
      </w:r>
      <w:proofErr w:type="gramEnd"/>
      <w:r w:rsidR="007C0167">
        <w:t xml:space="preserve"> </w:t>
      </w:r>
      <w:r>
        <w:tab/>
        <w:t xml:space="preserve">       </w:t>
      </w:r>
      <w:r w:rsidR="00167D17">
        <w:t xml:space="preserve">  </w:t>
      </w:r>
      <w:r>
        <w:t xml:space="preserve"> 01/01/17-12/31/</w:t>
      </w:r>
      <w:r w:rsidR="007C0167">
        <w:t xml:space="preserve">17                                         </w:t>
      </w:r>
    </w:p>
    <w:p w14:paraId="51D024EB" w14:textId="77777777" w:rsidR="007C0167" w:rsidRPr="007B6E98" w:rsidRDefault="007C0167" w:rsidP="002C391D">
      <w:pPr>
        <w:pStyle w:val="sectionFundingfundDetailsmyncbiAwardpiName"/>
        <w:widowControl w:val="0"/>
        <w:spacing w:line="300" w:lineRule="atLeast"/>
        <w:ind w:right="300"/>
      </w:pPr>
      <w:r w:rsidRPr="007B6E98">
        <w:t>Generalizing colorectal cancer trial results to real world populations: A pilot study</w:t>
      </w:r>
    </w:p>
    <w:p w14:paraId="392522AA" w14:textId="77777777" w:rsidR="007C0167" w:rsidRDefault="007B6E98" w:rsidP="002C391D">
      <w:pPr>
        <w:pStyle w:val="sectionFundingfundDetailsmyncbiAwardpiName"/>
        <w:widowControl w:val="0"/>
        <w:spacing w:line="300" w:lineRule="atLeast"/>
        <w:ind w:right="300"/>
      </w:pPr>
      <w:r>
        <w:t xml:space="preserve">This study </w:t>
      </w:r>
      <w:r w:rsidR="007C0167">
        <w:t>harness</w:t>
      </w:r>
      <w:r>
        <w:t>ed</w:t>
      </w:r>
      <w:r w:rsidR="007C0167">
        <w:t xml:space="preserve"> clinical trial, population-based cancer registry, and Medicare claims data to assess and apply inverse odds of sampling weights for generalization of</w:t>
      </w:r>
      <w:r>
        <w:t xml:space="preserve"> two colorectal cancer trials that</w:t>
      </w:r>
      <w:r w:rsidR="007C0167">
        <w:t xml:space="preserve"> target</w:t>
      </w:r>
      <w:r>
        <w:t>ed</w:t>
      </w:r>
      <w:r w:rsidR="007C0167">
        <w:t xml:space="preserve"> populations of older adults treated in routine care. </w:t>
      </w:r>
    </w:p>
    <w:p w14:paraId="60AF9EAF" w14:textId="77777777" w:rsidR="007B6E98" w:rsidRDefault="007C0167" w:rsidP="007B6E98">
      <w:pPr>
        <w:pStyle w:val="sectionFundingfundDetailsmyncbiAwardpiName"/>
        <w:widowControl w:val="0"/>
        <w:spacing w:line="300" w:lineRule="atLeast"/>
        <w:ind w:right="300"/>
      </w:pPr>
      <w:r>
        <w:t>Role: P</w:t>
      </w:r>
      <w:r w:rsidR="007B6E98">
        <w:t xml:space="preserve">rincipal </w:t>
      </w:r>
      <w:r>
        <w:t>I</w:t>
      </w:r>
      <w:r w:rsidR="007B6E98">
        <w:t>nvestigator</w:t>
      </w:r>
    </w:p>
    <w:p w14:paraId="4C6791FD" w14:textId="77777777" w:rsidR="007B6E98" w:rsidRDefault="007B6E98" w:rsidP="007B6E98">
      <w:pPr>
        <w:pStyle w:val="sectionFundingfundDetailsmyncbiAwardpiName"/>
        <w:widowControl w:val="0"/>
        <w:spacing w:line="300" w:lineRule="atLeast"/>
        <w:ind w:right="300"/>
      </w:pPr>
    </w:p>
    <w:p w14:paraId="3C587EC3" w14:textId="77777777" w:rsidR="007C722C" w:rsidRPr="00476ECB" w:rsidRDefault="007C722C" w:rsidP="007B6E98">
      <w:pPr>
        <w:pStyle w:val="sectionFundingfundDetailsmyncbiAwardpiName"/>
        <w:widowControl w:val="0"/>
        <w:spacing w:line="300" w:lineRule="atLeast"/>
        <w:ind w:right="300"/>
      </w:pPr>
      <w:r w:rsidRPr="00476ECB">
        <w:t xml:space="preserve">5K12CA120780-08 </w:t>
      </w:r>
      <w:r w:rsidRPr="00476ECB">
        <w:tab/>
      </w:r>
      <w:r>
        <w:tab/>
      </w:r>
      <w:r>
        <w:tab/>
      </w:r>
      <w:r>
        <w:tab/>
      </w:r>
      <w:r w:rsidRPr="00476ECB">
        <w:t xml:space="preserve">Sharpless (PI) </w:t>
      </w:r>
      <w:r>
        <w:tab/>
      </w:r>
      <w:r>
        <w:tab/>
      </w:r>
      <w:r>
        <w:tab/>
        <w:t xml:space="preserve">    </w:t>
      </w:r>
      <w:r w:rsidR="007B6E98">
        <w:t xml:space="preserve">    </w:t>
      </w:r>
      <w:r>
        <w:t xml:space="preserve">  </w:t>
      </w:r>
      <w:r w:rsidRPr="00476ECB">
        <w:t>07/01/15-06/30/17</w:t>
      </w:r>
    </w:p>
    <w:p w14:paraId="2A03CF3D" w14:textId="77777777" w:rsidR="007C722C" w:rsidRPr="007B6E98" w:rsidRDefault="007C722C" w:rsidP="002C391D">
      <w:pPr>
        <w:widowControl w:val="0"/>
        <w:spacing w:line="300" w:lineRule="atLeast"/>
      </w:pPr>
      <w:r w:rsidRPr="007B6E98">
        <w:t>Medication use, chemotherapy and adverse outcomes among older cancer patients</w:t>
      </w:r>
    </w:p>
    <w:p w14:paraId="6F322D2D" w14:textId="77777777" w:rsidR="007C722C" w:rsidRPr="00476ECB" w:rsidRDefault="007B6E98" w:rsidP="002C391D">
      <w:pPr>
        <w:pStyle w:val="projectDescription"/>
        <w:widowControl w:val="0"/>
        <w:spacing w:line="300" w:lineRule="atLeast"/>
      </w:pPr>
      <w:r>
        <w:t>This study used</w:t>
      </w:r>
      <w:r w:rsidR="007C722C" w:rsidRPr="00476ECB">
        <w:t xml:space="preserve"> the SEER-Medicare database to describe the prevalence and outcomes of polypharmacy, potentially inappropriate medication use</w:t>
      </w:r>
      <w:r>
        <w:t>,</w:t>
      </w:r>
      <w:r w:rsidR="007C722C" w:rsidRPr="00476ECB">
        <w:t xml:space="preserve"> and medications with the potential to interact with chemotherapy among older adults initiating chemotherapy for the treatment of non-metastatic breast, colon</w:t>
      </w:r>
      <w:r>
        <w:t>,</w:t>
      </w:r>
      <w:r w:rsidR="007C722C" w:rsidRPr="00476ECB">
        <w:t xml:space="preserve"> and lung cancer. </w:t>
      </w:r>
    </w:p>
    <w:p w14:paraId="72FC0544" w14:textId="77777777" w:rsidR="007C722C" w:rsidRPr="00476ECB" w:rsidRDefault="007C722C" w:rsidP="002C391D">
      <w:pPr>
        <w:widowControl w:val="0"/>
      </w:pPr>
      <w:r w:rsidRPr="00476ECB">
        <w:t>Role: Trainee</w:t>
      </w:r>
    </w:p>
    <w:p w14:paraId="4962ED86" w14:textId="77777777" w:rsidR="007B6E98" w:rsidRDefault="007B6E98" w:rsidP="007B6E98">
      <w:pPr>
        <w:widowControl w:val="0"/>
        <w:spacing w:line="300" w:lineRule="atLeast"/>
        <w:rPr>
          <w:sz w:val="10"/>
          <w:szCs w:val="10"/>
        </w:rPr>
      </w:pPr>
    </w:p>
    <w:p w14:paraId="733F1634" w14:textId="77777777" w:rsidR="00147634" w:rsidRPr="00476ECB" w:rsidRDefault="007B6E98" w:rsidP="007B6E98">
      <w:pPr>
        <w:widowControl w:val="0"/>
        <w:spacing w:line="300" w:lineRule="atLeast"/>
      </w:pPr>
      <w:r w:rsidRPr="00476ECB">
        <w:t>PhRMA Foundation</w:t>
      </w:r>
      <w:r w:rsidR="00147634" w:rsidRPr="00476ECB">
        <w:tab/>
      </w:r>
      <w:r w:rsidR="00147634" w:rsidRPr="00476ECB">
        <w:tab/>
      </w:r>
      <w:r w:rsidR="00147634" w:rsidRPr="00476ECB">
        <w:tab/>
      </w:r>
      <w:r>
        <w:tab/>
      </w:r>
      <w:r w:rsidR="00147634" w:rsidRPr="00476ECB">
        <w:t xml:space="preserve">Lund (PI) </w:t>
      </w:r>
      <w:r w:rsidR="00147634">
        <w:tab/>
      </w:r>
      <w:r w:rsidR="00147634">
        <w:tab/>
      </w:r>
      <w:r w:rsidR="00147634">
        <w:tab/>
      </w:r>
      <w:r w:rsidR="00147634">
        <w:tab/>
        <w:t xml:space="preserve">    </w:t>
      </w:r>
      <w:r>
        <w:t xml:space="preserve">    </w:t>
      </w:r>
      <w:r w:rsidR="00147634">
        <w:t xml:space="preserve">  </w:t>
      </w:r>
      <w:r w:rsidR="00147634" w:rsidRPr="00476ECB">
        <w:t>01/01/15-06/30/16</w:t>
      </w:r>
    </w:p>
    <w:p w14:paraId="5643B1A4" w14:textId="77777777" w:rsidR="00147634" w:rsidRPr="00167D17" w:rsidRDefault="00147634" w:rsidP="002C391D">
      <w:pPr>
        <w:widowControl w:val="0"/>
        <w:spacing w:line="300" w:lineRule="atLeast"/>
      </w:pPr>
      <w:r w:rsidRPr="00167D17">
        <w:t>Evaluating the heterogeneity of cancer treatment benefits among older adults</w:t>
      </w:r>
    </w:p>
    <w:p w14:paraId="7E02B804" w14:textId="77777777" w:rsidR="00147634" w:rsidRPr="00476ECB" w:rsidRDefault="00167D17" w:rsidP="002C391D">
      <w:pPr>
        <w:pStyle w:val="projectDescription"/>
        <w:widowControl w:val="0"/>
        <w:spacing w:line="300" w:lineRule="atLeast"/>
      </w:pPr>
      <w:r>
        <w:t>The goal of this study wa</w:t>
      </w:r>
      <w:r w:rsidR="00147634" w:rsidRPr="00476ECB">
        <w:t>s to evaluate whether claims-based measures of mult</w:t>
      </w:r>
      <w:r>
        <w:t>imorbidity and disability modified</w:t>
      </w:r>
      <w:r w:rsidR="00147634" w:rsidRPr="00476ECB">
        <w:t xml:space="preserve"> the comparative effectiveness of adjuvant chemotherapy with and without oxaliplatin among older stage III colon cancer patients using the SEER-Medicare linked data.</w:t>
      </w:r>
    </w:p>
    <w:p w14:paraId="495A70AE" w14:textId="77777777" w:rsidR="00147634" w:rsidRDefault="00147634" w:rsidP="002C391D">
      <w:pPr>
        <w:widowControl w:val="0"/>
        <w:spacing w:line="300" w:lineRule="atLeast"/>
      </w:pPr>
      <w:r w:rsidRPr="00476ECB">
        <w:t>Role: P</w:t>
      </w:r>
      <w:r w:rsidR="007B6E98">
        <w:t xml:space="preserve">rincipal </w:t>
      </w:r>
      <w:r w:rsidRPr="00476ECB">
        <w:t>I</w:t>
      </w:r>
      <w:r w:rsidR="007B6E98">
        <w:t>nvestigator</w:t>
      </w:r>
    </w:p>
    <w:p w14:paraId="2DA1AD89" w14:textId="77777777" w:rsidR="00F92558" w:rsidRPr="00D940EB" w:rsidRDefault="00F92558" w:rsidP="002C391D">
      <w:pPr>
        <w:pStyle w:val="sectionFundingfundDetailsmyncbiAwardawardID"/>
        <w:widowControl w:val="0"/>
        <w:ind w:right="144"/>
        <w:rPr>
          <w:sz w:val="10"/>
          <w:szCs w:val="10"/>
        </w:rPr>
      </w:pPr>
    </w:p>
    <w:p w14:paraId="0F076576" w14:textId="566B6ECD" w:rsidR="00983354" w:rsidRPr="00476ECB" w:rsidRDefault="00983354" w:rsidP="007B6E98">
      <w:pPr>
        <w:widowControl w:val="0"/>
        <w:spacing w:line="300" w:lineRule="atLeast"/>
      </w:pPr>
    </w:p>
    <w:sectPr w:rsidR="00983354" w:rsidRPr="00476ECB">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A3842" w14:textId="77777777" w:rsidR="00435C1E" w:rsidRDefault="00435C1E" w:rsidP="00A3132C">
      <w:r>
        <w:separator/>
      </w:r>
    </w:p>
  </w:endnote>
  <w:endnote w:type="continuationSeparator" w:id="0">
    <w:p w14:paraId="6E456647" w14:textId="77777777" w:rsidR="00435C1E" w:rsidRDefault="00435C1E" w:rsidP="00A3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C10A6" w14:textId="77777777" w:rsidR="00435C1E" w:rsidRDefault="00435C1E" w:rsidP="00A3132C">
      <w:r>
        <w:separator/>
      </w:r>
    </w:p>
  </w:footnote>
  <w:footnote w:type="continuationSeparator" w:id="0">
    <w:p w14:paraId="7618D0E7" w14:textId="77777777" w:rsidR="00435C1E" w:rsidRDefault="00435C1E" w:rsidP="00A31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C4C84B4"/>
    <w:lvl w:ilvl="0">
      <w:start w:val="1"/>
      <w:numFmt w:val="decimal"/>
      <w:lvlText w:val="%1."/>
      <w:lvlJc w:val="left"/>
      <w:pPr>
        <w:tabs>
          <w:tab w:val="num" w:pos="360"/>
        </w:tabs>
        <w:ind w:left="360" w:hanging="360"/>
      </w:pPr>
      <w:rPr>
        <w:rFonts w:ascii="Arial" w:eastAsia="Arial" w:hAnsi="Arial" w:cs="Arial"/>
        <w:b w:val="0"/>
        <w:sz w:val="22"/>
        <w:szCs w:val="22"/>
        <w:bdr w:val="ni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2"/>
    <w:multiLevelType w:val="multilevel"/>
    <w:tmpl w:val="C47668C6"/>
    <w:lvl w:ilvl="0">
      <w:start w:val="1"/>
      <w:numFmt w:val="decimal"/>
      <w:lvlText w:val="%1."/>
      <w:lvlJc w:val="left"/>
      <w:pPr>
        <w:tabs>
          <w:tab w:val="num" w:pos="720"/>
        </w:tabs>
        <w:ind w:left="720" w:hanging="360"/>
      </w:pPr>
      <w:rPr>
        <w:rFonts w:ascii="Arial" w:eastAsia="Arial" w:hAnsi="Arial" w:cs="Arial"/>
        <w:b w:val="0"/>
        <w:sz w:val="22"/>
        <w:szCs w:val="22"/>
        <w:bdr w:val="nil"/>
      </w:rPr>
    </w:lvl>
    <w:lvl w:ilvl="1">
      <w:start w:val="1"/>
      <w:numFmt w:val="lowerLetter"/>
      <w:lvlText w:val="%2."/>
      <w:lvlJc w:val="left"/>
      <w:pPr>
        <w:tabs>
          <w:tab w:val="num" w:pos="1080"/>
        </w:tabs>
        <w:ind w:left="1080" w:hanging="360"/>
      </w:pPr>
      <w:rPr>
        <w:rFonts w:ascii="Arial" w:eastAsia="Arial" w:hAnsi="Arial" w:cs="Arial"/>
        <w:b w:val="0"/>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tabs>
          <w:tab w:val="num" w:pos="990"/>
        </w:tabs>
        <w:ind w:left="990" w:hanging="360"/>
      </w:pPr>
    </w:lvl>
    <w:lvl w:ilvl="1">
      <w:start w:val="1"/>
      <w:numFmt w:val="lowerLetter"/>
      <w:lvlText w:val="%2."/>
      <w:lvlJc w:val="left"/>
      <w:pPr>
        <w:tabs>
          <w:tab w:val="num" w:pos="1710"/>
        </w:tabs>
        <w:ind w:left="1710" w:hanging="360"/>
      </w:pPr>
      <w:rPr>
        <w:rFonts w:ascii="Arial" w:eastAsia="Arial" w:hAnsi="Arial" w:cs="Arial"/>
        <w:sz w:val="22"/>
        <w:szCs w:val="22"/>
        <w:bdr w:val="nil"/>
      </w:r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3" w15:restartNumberingAfterBreak="0">
    <w:nsid w:val="00000004"/>
    <w:multiLevelType w:val="multilevel"/>
    <w:tmpl w:val="3BB28A16"/>
    <w:lvl w:ilvl="0">
      <w:start w:val="1"/>
      <w:numFmt w:val="lowerLetter"/>
      <w:lvlText w:val="%1."/>
      <w:lvlJc w:val="left"/>
      <w:pPr>
        <w:tabs>
          <w:tab w:val="num" w:pos="1170"/>
        </w:tabs>
        <w:ind w:left="1170" w:hanging="360"/>
      </w:pPr>
      <w:rPr>
        <w:rFonts w:ascii="Arial" w:eastAsia="Arial" w:hAnsi="Arial" w:cs="Arial"/>
      </w:rPr>
    </w:lvl>
    <w:lvl w:ilvl="1">
      <w:start w:val="1"/>
      <w:numFmt w:val="lowerLetter"/>
      <w:lvlText w:val="%2."/>
      <w:lvlJc w:val="left"/>
      <w:pPr>
        <w:tabs>
          <w:tab w:val="num" w:pos="1890"/>
        </w:tabs>
        <w:ind w:left="1890" w:hanging="360"/>
      </w:pPr>
      <w:rPr>
        <w:rFonts w:ascii="Arial" w:eastAsia="Arial" w:hAnsi="Arial" w:cs="Arial"/>
        <w:sz w:val="22"/>
        <w:szCs w:val="22"/>
        <w:bdr w:val="nil"/>
      </w:r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4"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eastAsia="Arial" w:hAnsi="Arial" w:cs="Arial"/>
        <w:sz w:val="22"/>
        <w:szCs w:val="22"/>
        <w:bdr w:val="ni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618628D"/>
    <w:multiLevelType w:val="multilevel"/>
    <w:tmpl w:val="96548792"/>
    <w:lvl w:ilvl="0">
      <w:start w:val="1"/>
      <w:numFmt w:val="lowerLetter"/>
      <w:lvlText w:val="%1."/>
      <w:lvlJc w:val="left"/>
      <w:pPr>
        <w:tabs>
          <w:tab w:val="num" w:pos="1080"/>
        </w:tabs>
        <w:ind w:left="1080" w:hanging="360"/>
      </w:pPr>
      <w:rPr>
        <w:rFonts w:ascii="Arial" w:eastAsia="Arial" w:hAnsi="Arial" w:cs="Arial"/>
        <w:b w:val="0"/>
        <w:sz w:val="22"/>
        <w:szCs w:val="22"/>
        <w:bdr w:val="nil"/>
      </w:rPr>
    </w:lvl>
    <w:lvl w:ilvl="1">
      <w:start w:val="1"/>
      <w:numFmt w:val="lowerLetter"/>
      <w:lvlText w:val="%2."/>
      <w:lvlJc w:val="left"/>
      <w:pPr>
        <w:tabs>
          <w:tab w:val="num" w:pos="1440"/>
        </w:tabs>
        <w:ind w:left="1440" w:hanging="360"/>
      </w:pPr>
      <w:rPr>
        <w:rFonts w:ascii="Arial" w:eastAsia="Arial" w:hAnsi="Arial" w:cs="Arial"/>
        <w:b w:val="0"/>
        <w:sz w:val="22"/>
        <w:szCs w:val="22"/>
        <w:bdr w:val="ni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6AB6196F"/>
    <w:multiLevelType w:val="multilevel"/>
    <w:tmpl w:val="00000003"/>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rPr>
        <w:rFonts w:ascii="Arial" w:eastAsia="Arial" w:hAnsi="Arial" w:cs="Arial"/>
        <w:sz w:val="22"/>
        <w:szCs w:val="22"/>
        <w:bdr w:val="ni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77611FAC"/>
    <w:multiLevelType w:val="hybridMultilevel"/>
    <w:tmpl w:val="69B6D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0F8"/>
    <w:rsid w:val="000148D8"/>
    <w:rsid w:val="000277EC"/>
    <w:rsid w:val="00035067"/>
    <w:rsid w:val="00047967"/>
    <w:rsid w:val="00054D4B"/>
    <w:rsid w:val="000B0F51"/>
    <w:rsid w:val="000B7E56"/>
    <w:rsid w:val="000E624C"/>
    <w:rsid w:val="0010119A"/>
    <w:rsid w:val="001458A0"/>
    <w:rsid w:val="00147634"/>
    <w:rsid w:val="00155C97"/>
    <w:rsid w:val="001569D5"/>
    <w:rsid w:val="00167D17"/>
    <w:rsid w:val="001B3679"/>
    <w:rsid w:val="001F32D1"/>
    <w:rsid w:val="00201B8F"/>
    <w:rsid w:val="00207FB6"/>
    <w:rsid w:val="00211FA1"/>
    <w:rsid w:val="002204B5"/>
    <w:rsid w:val="00241DDD"/>
    <w:rsid w:val="00242611"/>
    <w:rsid w:val="002440E6"/>
    <w:rsid w:val="00247F02"/>
    <w:rsid w:val="00281D2D"/>
    <w:rsid w:val="002910D1"/>
    <w:rsid w:val="002A4C96"/>
    <w:rsid w:val="002B43BF"/>
    <w:rsid w:val="002C391D"/>
    <w:rsid w:val="002E37B3"/>
    <w:rsid w:val="00375589"/>
    <w:rsid w:val="00380672"/>
    <w:rsid w:val="00384B47"/>
    <w:rsid w:val="003911E9"/>
    <w:rsid w:val="0039327B"/>
    <w:rsid w:val="003C3D17"/>
    <w:rsid w:val="003E13F2"/>
    <w:rsid w:val="003E6B34"/>
    <w:rsid w:val="0043387F"/>
    <w:rsid w:val="00435C1E"/>
    <w:rsid w:val="00446F72"/>
    <w:rsid w:val="00476ECB"/>
    <w:rsid w:val="004B06AA"/>
    <w:rsid w:val="004B6FB7"/>
    <w:rsid w:val="004F1177"/>
    <w:rsid w:val="00534766"/>
    <w:rsid w:val="0054141A"/>
    <w:rsid w:val="00542540"/>
    <w:rsid w:val="00556022"/>
    <w:rsid w:val="005577A0"/>
    <w:rsid w:val="005614B0"/>
    <w:rsid w:val="00572B51"/>
    <w:rsid w:val="00577049"/>
    <w:rsid w:val="005800A3"/>
    <w:rsid w:val="005A184E"/>
    <w:rsid w:val="005B36AC"/>
    <w:rsid w:val="005B603A"/>
    <w:rsid w:val="005D21E1"/>
    <w:rsid w:val="005E24BD"/>
    <w:rsid w:val="005E4BF7"/>
    <w:rsid w:val="006055BE"/>
    <w:rsid w:val="006321D6"/>
    <w:rsid w:val="00642E34"/>
    <w:rsid w:val="00661587"/>
    <w:rsid w:val="006F70CC"/>
    <w:rsid w:val="0072464F"/>
    <w:rsid w:val="007346CF"/>
    <w:rsid w:val="00735AA9"/>
    <w:rsid w:val="007648F0"/>
    <w:rsid w:val="007766A6"/>
    <w:rsid w:val="007A5265"/>
    <w:rsid w:val="007B1925"/>
    <w:rsid w:val="007B6E98"/>
    <w:rsid w:val="007C0167"/>
    <w:rsid w:val="007C5422"/>
    <w:rsid w:val="007C722C"/>
    <w:rsid w:val="007D1D32"/>
    <w:rsid w:val="00813949"/>
    <w:rsid w:val="00826A6D"/>
    <w:rsid w:val="00830812"/>
    <w:rsid w:val="00831992"/>
    <w:rsid w:val="00841CFD"/>
    <w:rsid w:val="00851D13"/>
    <w:rsid w:val="008632C7"/>
    <w:rsid w:val="0087013F"/>
    <w:rsid w:val="00880BE5"/>
    <w:rsid w:val="008B3977"/>
    <w:rsid w:val="008C275F"/>
    <w:rsid w:val="008E71F3"/>
    <w:rsid w:val="008F3C74"/>
    <w:rsid w:val="00906AAC"/>
    <w:rsid w:val="0091767A"/>
    <w:rsid w:val="00920137"/>
    <w:rsid w:val="00920222"/>
    <w:rsid w:val="00932F0A"/>
    <w:rsid w:val="009412E7"/>
    <w:rsid w:val="009450E2"/>
    <w:rsid w:val="009472C9"/>
    <w:rsid w:val="00956796"/>
    <w:rsid w:val="00974138"/>
    <w:rsid w:val="00983354"/>
    <w:rsid w:val="009A21C7"/>
    <w:rsid w:val="009F3BB8"/>
    <w:rsid w:val="00A11AAD"/>
    <w:rsid w:val="00A12E81"/>
    <w:rsid w:val="00A3132C"/>
    <w:rsid w:val="00A31BD4"/>
    <w:rsid w:val="00A53FEB"/>
    <w:rsid w:val="00A54A0B"/>
    <w:rsid w:val="00A66114"/>
    <w:rsid w:val="00A74F26"/>
    <w:rsid w:val="00A82413"/>
    <w:rsid w:val="00AA0922"/>
    <w:rsid w:val="00B267C1"/>
    <w:rsid w:val="00B33EBF"/>
    <w:rsid w:val="00B83ED3"/>
    <w:rsid w:val="00BA6502"/>
    <w:rsid w:val="00BC4224"/>
    <w:rsid w:val="00BF38BB"/>
    <w:rsid w:val="00C075D4"/>
    <w:rsid w:val="00C10FC6"/>
    <w:rsid w:val="00C114C6"/>
    <w:rsid w:val="00C47F6C"/>
    <w:rsid w:val="00C6600A"/>
    <w:rsid w:val="00C7626B"/>
    <w:rsid w:val="00C779A3"/>
    <w:rsid w:val="00C92B63"/>
    <w:rsid w:val="00C93026"/>
    <w:rsid w:val="00CA31EA"/>
    <w:rsid w:val="00CC00F8"/>
    <w:rsid w:val="00CC7C64"/>
    <w:rsid w:val="00CE1EE2"/>
    <w:rsid w:val="00D01778"/>
    <w:rsid w:val="00D2605C"/>
    <w:rsid w:val="00D351FD"/>
    <w:rsid w:val="00D5656D"/>
    <w:rsid w:val="00D63ACD"/>
    <w:rsid w:val="00D64083"/>
    <w:rsid w:val="00D71F8A"/>
    <w:rsid w:val="00D90FCE"/>
    <w:rsid w:val="00D940EB"/>
    <w:rsid w:val="00DA7F2E"/>
    <w:rsid w:val="00DC76E7"/>
    <w:rsid w:val="00DD54F1"/>
    <w:rsid w:val="00E255A3"/>
    <w:rsid w:val="00E442D6"/>
    <w:rsid w:val="00E46465"/>
    <w:rsid w:val="00E71BE1"/>
    <w:rsid w:val="00E86513"/>
    <w:rsid w:val="00EA169F"/>
    <w:rsid w:val="00EF4B08"/>
    <w:rsid w:val="00F405FD"/>
    <w:rsid w:val="00F51EA1"/>
    <w:rsid w:val="00F6605E"/>
    <w:rsid w:val="00F85B42"/>
    <w:rsid w:val="00F92558"/>
    <w:rsid w:val="00FC32C6"/>
    <w:rsid w:val="00FD0F35"/>
    <w:rsid w:val="00FD3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1D95"/>
  <w15:docId w15:val="{4D96D303-568C-44B3-B203-CA68524F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rial" w:eastAsia="Arial" w:hAnsi="Arial" w:cs="Arial"/>
      <w:sz w:val="22"/>
      <w:szCs w:val="22"/>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2"/>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20" w:after="3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keheader">
    <w:name w:val="likeheader"/>
    <w:basedOn w:val="Normal"/>
    <w:pPr>
      <w:jc w:val="right"/>
    </w:pPr>
    <w:rPr>
      <w:sz w:val="16"/>
      <w:szCs w:val="16"/>
    </w:rPr>
  </w:style>
  <w:style w:type="paragraph" w:customStyle="1" w:styleId="h3center">
    <w:name w:val="h3_center"/>
    <w:basedOn w:val="Heading3"/>
    <w:pPr>
      <w:jc w:val="center"/>
    </w:pPr>
  </w:style>
  <w:style w:type="paragraph" w:customStyle="1" w:styleId="sectionDescription">
    <w:name w:val="sectionDescription"/>
    <w:basedOn w:val="Normal"/>
    <w:pPr>
      <w:spacing w:after="75"/>
    </w:pPr>
    <w:rPr>
      <w:sz w:val="16"/>
      <w:szCs w:val="16"/>
    </w:rPr>
  </w:style>
  <w:style w:type="table" w:customStyle="1" w:styleId="table">
    <w:name w:val="table"/>
    <w:tblPr>
      <w:tblCellMar>
        <w:top w:w="0" w:type="dxa"/>
        <w:left w:w="0" w:type="dxa"/>
        <w:bottom w:w="0" w:type="dxa"/>
        <w:right w:w="0" w:type="dxa"/>
      </w:tblCellMar>
    </w:tblPr>
  </w:style>
  <w:style w:type="paragraph" w:customStyle="1" w:styleId="sectionEducationsectionHeader">
    <w:name w:val="sectionEducation_sectionHeader"/>
    <w:basedOn w:val="Normal"/>
    <w:pPr>
      <w:pBdr>
        <w:top w:val="nil"/>
        <w:left w:val="nil"/>
        <w:bottom w:val="nil"/>
        <w:right w:val="nil"/>
      </w:pBdr>
    </w:pPr>
  </w:style>
  <w:style w:type="paragraph" w:customStyle="1" w:styleId="annotation">
    <w:name w:val="annotation"/>
    <w:basedOn w:val="Normal"/>
  </w:style>
  <w:style w:type="character" w:customStyle="1" w:styleId="citationUlli">
    <w:name w:val="citationUl_li"/>
    <w:basedOn w:val="DefaultParagraphFont"/>
    <w:rPr>
      <w:bdr w:val="nil"/>
    </w:rPr>
  </w:style>
  <w:style w:type="paragraph" w:customStyle="1" w:styleId="citationUlliParagraph">
    <w:name w:val="citationUl_li Paragraph"/>
    <w:basedOn w:val="Normal"/>
    <w:pPr>
      <w:spacing w:after="75"/>
    </w:pPr>
  </w:style>
  <w:style w:type="paragraph" w:customStyle="1" w:styleId="h3underline">
    <w:name w:val="h3_underline"/>
    <w:basedOn w:val="Heading3"/>
    <w:rPr>
      <w:u w:val="single"/>
    </w:rPr>
  </w:style>
  <w:style w:type="paragraph" w:customStyle="1" w:styleId="FundingListfundDetails">
    <w:name w:val="FundingList_fundDetails"/>
    <w:basedOn w:val="Normal"/>
    <w:pPr>
      <w:spacing w:after="270" w:line="300" w:lineRule="atLeast"/>
    </w:pPr>
  </w:style>
  <w:style w:type="paragraph" w:customStyle="1" w:styleId="sectionFundingfundDetailsfirstLine">
    <w:name w:val="sectionFunding_fundDetails_firstLine"/>
    <w:basedOn w:val="Normal"/>
  </w:style>
  <w:style w:type="paragraph" w:customStyle="1" w:styleId="sectionFundingfundDetailsmyncbiAwardawardID">
    <w:name w:val="sectionFunding_fundDetails_myncbiAward_awardID"/>
    <w:basedOn w:val="Normal"/>
  </w:style>
  <w:style w:type="paragraph" w:customStyle="1" w:styleId="sectionFundingfundDetailsmyncbiAwardpiName">
    <w:name w:val="sectionFunding_fundDetails_myncbiAward_piName"/>
    <w:basedOn w:val="Normal"/>
  </w:style>
  <w:style w:type="paragraph" w:customStyle="1" w:styleId="projectDescription">
    <w:name w:val="projectDescription"/>
    <w:basedOn w:val="Normal"/>
  </w:style>
  <w:style w:type="paragraph" w:customStyle="1" w:styleId="sectionFundingfundDetailseraAwardawardID">
    <w:name w:val="sectionFunding_fundDetails_eraAward_awardID"/>
    <w:basedOn w:val="Normal"/>
  </w:style>
  <w:style w:type="paragraph" w:customStyle="1" w:styleId="sectionFundingfundDetailseraAwardpiName">
    <w:name w:val="sectionFunding_fundDetails_eraAward_piName"/>
    <w:basedOn w:val="Normal"/>
  </w:style>
  <w:style w:type="paragraph" w:customStyle="1" w:styleId="FundingListawardDate">
    <w:name w:val="FundingList_awardDate"/>
    <w:basedOn w:val="Normal"/>
    <w:rsid w:val="00983354"/>
  </w:style>
  <w:style w:type="paragraph" w:customStyle="1" w:styleId="sectionFundingawardID">
    <w:name w:val="sectionFunding_awardID"/>
    <w:basedOn w:val="Normal"/>
    <w:rsid w:val="00983354"/>
  </w:style>
  <w:style w:type="character" w:styleId="Hyperlink">
    <w:name w:val="Hyperlink"/>
    <w:basedOn w:val="DefaultParagraphFont"/>
    <w:uiPriority w:val="99"/>
    <w:unhideWhenUsed/>
    <w:rsid w:val="00476ECB"/>
    <w:rPr>
      <w:color w:val="0000FF"/>
      <w:u w:val="single"/>
    </w:rPr>
  </w:style>
  <w:style w:type="character" w:styleId="FollowedHyperlink">
    <w:name w:val="FollowedHyperlink"/>
    <w:basedOn w:val="DefaultParagraphFont"/>
    <w:uiPriority w:val="99"/>
    <w:semiHidden/>
    <w:unhideWhenUsed/>
    <w:rsid w:val="00A11AAD"/>
    <w:rPr>
      <w:color w:val="954F72" w:themeColor="followedHyperlink"/>
      <w:u w:val="single"/>
    </w:rPr>
  </w:style>
  <w:style w:type="paragraph" w:styleId="ListParagraph">
    <w:name w:val="List Paragraph"/>
    <w:basedOn w:val="Normal"/>
    <w:uiPriority w:val="34"/>
    <w:qFormat/>
    <w:rsid w:val="00661587"/>
    <w:pPr>
      <w:autoSpaceDE w:val="0"/>
      <w:autoSpaceDN w:val="0"/>
      <w:ind w:left="720"/>
    </w:pPr>
    <w:rPr>
      <w:rFonts w:eastAsia="Times New Roman" w:cs="Times New Roman"/>
      <w:szCs w:val="24"/>
      <w:bdr w:val="none" w:sz="0" w:space="0" w:color="auto"/>
    </w:rPr>
  </w:style>
  <w:style w:type="character" w:styleId="CommentReference">
    <w:name w:val="annotation reference"/>
    <w:basedOn w:val="DefaultParagraphFont"/>
    <w:uiPriority w:val="99"/>
    <w:semiHidden/>
    <w:unhideWhenUsed/>
    <w:rsid w:val="00851D13"/>
    <w:rPr>
      <w:sz w:val="16"/>
      <w:szCs w:val="16"/>
    </w:rPr>
  </w:style>
  <w:style w:type="paragraph" w:styleId="CommentText">
    <w:name w:val="annotation text"/>
    <w:basedOn w:val="Normal"/>
    <w:link w:val="CommentTextChar"/>
    <w:uiPriority w:val="99"/>
    <w:semiHidden/>
    <w:unhideWhenUsed/>
    <w:rsid w:val="00851D13"/>
    <w:rPr>
      <w:sz w:val="20"/>
      <w:szCs w:val="20"/>
    </w:rPr>
  </w:style>
  <w:style w:type="character" w:customStyle="1" w:styleId="CommentTextChar">
    <w:name w:val="Comment Text Char"/>
    <w:basedOn w:val="DefaultParagraphFont"/>
    <w:link w:val="CommentText"/>
    <w:uiPriority w:val="99"/>
    <w:semiHidden/>
    <w:rsid w:val="00851D13"/>
    <w:rPr>
      <w:rFonts w:ascii="Arial" w:eastAsia="Arial" w:hAnsi="Arial" w:cs="Arial"/>
      <w:bdr w:val="nil"/>
    </w:rPr>
  </w:style>
  <w:style w:type="paragraph" w:styleId="CommentSubject">
    <w:name w:val="annotation subject"/>
    <w:basedOn w:val="CommentText"/>
    <w:next w:val="CommentText"/>
    <w:link w:val="CommentSubjectChar"/>
    <w:uiPriority w:val="99"/>
    <w:semiHidden/>
    <w:unhideWhenUsed/>
    <w:rsid w:val="00851D13"/>
    <w:rPr>
      <w:b/>
      <w:bCs/>
    </w:rPr>
  </w:style>
  <w:style w:type="character" w:customStyle="1" w:styleId="CommentSubjectChar">
    <w:name w:val="Comment Subject Char"/>
    <w:basedOn w:val="CommentTextChar"/>
    <w:link w:val="CommentSubject"/>
    <w:uiPriority w:val="99"/>
    <w:semiHidden/>
    <w:rsid w:val="00851D13"/>
    <w:rPr>
      <w:rFonts w:ascii="Arial" w:eastAsia="Arial" w:hAnsi="Arial" w:cs="Arial"/>
      <w:b/>
      <w:bCs/>
      <w:bdr w:val="nil"/>
    </w:rPr>
  </w:style>
  <w:style w:type="paragraph" w:styleId="BalloonText">
    <w:name w:val="Balloon Text"/>
    <w:basedOn w:val="Normal"/>
    <w:link w:val="BalloonTextChar"/>
    <w:uiPriority w:val="99"/>
    <w:semiHidden/>
    <w:unhideWhenUsed/>
    <w:rsid w:val="00851D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13"/>
    <w:rPr>
      <w:rFonts w:ascii="Segoe UI" w:eastAsia="Arial" w:hAnsi="Segoe UI" w:cs="Segoe UI"/>
      <w:sz w:val="18"/>
      <w:szCs w:val="18"/>
      <w:bdr w:val="nil"/>
    </w:rPr>
  </w:style>
  <w:style w:type="character" w:customStyle="1" w:styleId="UnresolvedMention1">
    <w:name w:val="Unresolved Mention1"/>
    <w:basedOn w:val="DefaultParagraphFont"/>
    <w:uiPriority w:val="99"/>
    <w:semiHidden/>
    <w:unhideWhenUsed/>
    <w:rsid w:val="007C722C"/>
    <w:rPr>
      <w:color w:val="808080"/>
      <w:shd w:val="clear" w:color="auto" w:fill="E6E6E6"/>
    </w:rPr>
  </w:style>
  <w:style w:type="paragraph" w:styleId="Header">
    <w:name w:val="header"/>
    <w:basedOn w:val="Normal"/>
    <w:link w:val="HeaderChar"/>
    <w:unhideWhenUsed/>
    <w:rsid w:val="00A3132C"/>
    <w:pPr>
      <w:tabs>
        <w:tab w:val="center" w:pos="4680"/>
        <w:tab w:val="right" w:pos="9360"/>
      </w:tabs>
    </w:pPr>
  </w:style>
  <w:style w:type="character" w:customStyle="1" w:styleId="HeaderChar">
    <w:name w:val="Header Char"/>
    <w:basedOn w:val="DefaultParagraphFont"/>
    <w:link w:val="Header"/>
    <w:uiPriority w:val="99"/>
    <w:rsid w:val="00A3132C"/>
    <w:rPr>
      <w:rFonts w:ascii="Arial" w:eastAsia="Arial" w:hAnsi="Arial" w:cs="Arial"/>
      <w:sz w:val="22"/>
      <w:szCs w:val="22"/>
      <w:bdr w:val="nil"/>
    </w:rPr>
  </w:style>
  <w:style w:type="paragraph" w:styleId="Footer">
    <w:name w:val="footer"/>
    <w:basedOn w:val="Normal"/>
    <w:link w:val="FooterChar"/>
    <w:unhideWhenUsed/>
    <w:rsid w:val="00A3132C"/>
    <w:pPr>
      <w:tabs>
        <w:tab w:val="center" w:pos="4680"/>
        <w:tab w:val="right" w:pos="9360"/>
      </w:tabs>
    </w:pPr>
  </w:style>
  <w:style w:type="character" w:customStyle="1" w:styleId="FooterChar">
    <w:name w:val="Footer Char"/>
    <w:basedOn w:val="DefaultParagraphFont"/>
    <w:link w:val="Footer"/>
    <w:rsid w:val="00A3132C"/>
    <w:rPr>
      <w:rFonts w:ascii="Arial" w:eastAsia="Arial" w:hAnsi="Arial" w:cs="Arial"/>
      <w:sz w:val="22"/>
      <w:szCs w:val="22"/>
      <w:bdr w:val="nil"/>
    </w:rPr>
  </w:style>
  <w:style w:type="table" w:styleId="TableGrid">
    <w:name w:val="Table Grid"/>
    <w:basedOn w:val="TableNormal"/>
    <w:rsid w:val="002B4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267100">
      <w:bodyDiv w:val="1"/>
      <w:marLeft w:val="0"/>
      <w:marRight w:val="0"/>
      <w:marTop w:val="0"/>
      <w:marBottom w:val="0"/>
      <w:divBdr>
        <w:top w:val="none" w:sz="0" w:space="0" w:color="auto"/>
        <w:left w:val="none" w:sz="0" w:space="0" w:color="auto"/>
        <w:bottom w:val="none" w:sz="0" w:space="0" w:color="auto"/>
        <w:right w:val="none" w:sz="0" w:space="0" w:color="auto"/>
      </w:divBdr>
      <w:divsChild>
        <w:div w:id="211969429">
          <w:marLeft w:val="0"/>
          <w:marRight w:val="0"/>
          <w:marTop w:val="0"/>
          <w:marBottom w:val="0"/>
          <w:divBdr>
            <w:top w:val="none" w:sz="0" w:space="0" w:color="auto"/>
            <w:left w:val="none" w:sz="0" w:space="0" w:color="auto"/>
            <w:bottom w:val="none" w:sz="0" w:space="0" w:color="auto"/>
            <w:right w:val="none" w:sz="0" w:space="0" w:color="auto"/>
          </w:divBdr>
        </w:div>
      </w:divsChild>
    </w:div>
    <w:div w:id="550309479">
      <w:bodyDiv w:val="1"/>
      <w:marLeft w:val="0"/>
      <w:marRight w:val="0"/>
      <w:marTop w:val="0"/>
      <w:marBottom w:val="0"/>
      <w:divBdr>
        <w:top w:val="none" w:sz="0" w:space="0" w:color="auto"/>
        <w:left w:val="none" w:sz="0" w:space="0" w:color="auto"/>
        <w:bottom w:val="none" w:sz="0" w:space="0" w:color="auto"/>
        <w:right w:val="none" w:sz="0" w:space="0" w:color="auto"/>
      </w:divBdr>
    </w:div>
    <w:div w:id="814641931">
      <w:bodyDiv w:val="1"/>
      <w:marLeft w:val="0"/>
      <w:marRight w:val="0"/>
      <w:marTop w:val="0"/>
      <w:marBottom w:val="0"/>
      <w:divBdr>
        <w:top w:val="none" w:sz="0" w:space="0" w:color="auto"/>
        <w:left w:val="none" w:sz="0" w:space="0" w:color="auto"/>
        <w:bottom w:val="none" w:sz="0" w:space="0" w:color="auto"/>
        <w:right w:val="none" w:sz="0" w:space="0" w:color="auto"/>
      </w:divBdr>
      <w:divsChild>
        <w:div w:id="902908714">
          <w:marLeft w:val="0"/>
          <w:marRight w:val="0"/>
          <w:marTop w:val="0"/>
          <w:marBottom w:val="0"/>
          <w:divBdr>
            <w:top w:val="none" w:sz="0" w:space="0" w:color="auto"/>
            <w:left w:val="none" w:sz="0" w:space="0" w:color="auto"/>
            <w:bottom w:val="none" w:sz="0" w:space="0" w:color="auto"/>
            <w:right w:val="none" w:sz="0" w:space="0" w:color="auto"/>
          </w:divBdr>
          <w:divsChild>
            <w:div w:id="315840283">
              <w:marLeft w:val="0"/>
              <w:marRight w:val="0"/>
              <w:marTop w:val="0"/>
              <w:marBottom w:val="0"/>
              <w:divBdr>
                <w:top w:val="none" w:sz="0" w:space="0" w:color="auto"/>
                <w:left w:val="none" w:sz="0" w:space="0" w:color="auto"/>
                <w:bottom w:val="none" w:sz="0" w:space="0" w:color="auto"/>
                <w:right w:val="none" w:sz="0" w:space="0" w:color="auto"/>
              </w:divBdr>
              <w:divsChild>
                <w:div w:id="2015759138">
                  <w:marLeft w:val="0"/>
                  <w:marRight w:val="0"/>
                  <w:marTop w:val="0"/>
                  <w:marBottom w:val="0"/>
                  <w:divBdr>
                    <w:top w:val="none" w:sz="0" w:space="0" w:color="auto"/>
                    <w:left w:val="none" w:sz="0" w:space="0" w:color="auto"/>
                    <w:bottom w:val="none" w:sz="0" w:space="0" w:color="auto"/>
                    <w:right w:val="none" w:sz="0" w:space="0" w:color="auto"/>
                  </w:divBdr>
                  <w:divsChild>
                    <w:div w:id="7162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6206950/" TargetMode="External"/><Relationship Id="rId13" Type="http://schemas.openxmlformats.org/officeDocument/2006/relationships/hyperlink" Target="http://www.ncbi.nlm.nih.gov/pubmed/2208033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mc/articles/PMC4871747/" TargetMode="External"/><Relationship Id="rId12" Type="http://schemas.openxmlformats.org/officeDocument/2006/relationships/hyperlink" Target="http://www.ncbi.nlm.nih.gov/pubmed/263714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sites/myncbi/1zIfcqiKRRckm/bibliography/40957013/public/?sort=date&amp;direction=ascend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mc/articles/PMC4871747/" TargetMode="External"/><Relationship Id="rId5" Type="http://schemas.openxmlformats.org/officeDocument/2006/relationships/footnotes" Target="footnotes.xml"/><Relationship Id="rId15" Type="http://schemas.openxmlformats.org/officeDocument/2006/relationships/hyperlink" Target="http://www.ncbi.nlm.nih.gov/pubmed/24638121/" TargetMode="External"/><Relationship Id="rId10" Type="http://schemas.openxmlformats.org/officeDocument/2006/relationships/hyperlink" Target="http://www.ncbi.nlm.nih.gov/pmc/articles/PMC3663924/" TargetMode="External"/><Relationship Id="rId4" Type="http://schemas.openxmlformats.org/officeDocument/2006/relationships/webSettings" Target="webSettings.xml"/><Relationship Id="rId9" Type="http://schemas.openxmlformats.org/officeDocument/2006/relationships/hyperlink" Target="http://www.ncbi.nlm.nih.gov/pubmed/23512326/" TargetMode="External"/><Relationship Id="rId14" Type="http://schemas.openxmlformats.org/officeDocument/2006/relationships/hyperlink" Target="http://www.ncbi.nlm.nih.gov/pmc/articles/PMC3290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SciENCV PDF</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SciENCV PDF</dc:title>
  <dc:creator>jlund</dc:creator>
  <cp:lastModifiedBy>Jennifer Lund</cp:lastModifiedBy>
  <cp:revision>2</cp:revision>
  <cp:lastPrinted>2017-10-09T22:12:00Z</cp:lastPrinted>
  <dcterms:created xsi:type="dcterms:W3CDTF">2019-11-19T16:42:00Z</dcterms:created>
  <dcterms:modified xsi:type="dcterms:W3CDTF">2019-11-19T16:42:00Z</dcterms:modified>
</cp:coreProperties>
</file>