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E3E" w:rsidRPr="0069504E" w:rsidRDefault="00287DF9" w:rsidP="00367359">
      <w:pPr>
        <w:spacing w:after="0" w:line="240" w:lineRule="auto"/>
        <w:jc w:val="center"/>
        <w:rPr>
          <w:b/>
          <w:bCs/>
        </w:rPr>
      </w:pPr>
      <w:r w:rsidRPr="0069504E">
        <w:rPr>
          <w:b/>
          <w:bCs/>
        </w:rPr>
        <w:t>GLHLTH 6</w:t>
      </w:r>
      <w:r w:rsidR="00312E3E" w:rsidRPr="0069504E">
        <w:rPr>
          <w:b/>
          <w:bCs/>
        </w:rPr>
        <w:t>60</w:t>
      </w:r>
      <w:r w:rsidRPr="0069504E">
        <w:rPr>
          <w:b/>
          <w:bCs/>
        </w:rPr>
        <w:t>-02</w:t>
      </w:r>
      <w:r w:rsidR="00312E3E" w:rsidRPr="0069504E">
        <w:rPr>
          <w:b/>
          <w:bCs/>
        </w:rPr>
        <w:t xml:space="preserve"> / PSY 611</w:t>
      </w:r>
      <w:r w:rsidRPr="0069504E">
        <w:rPr>
          <w:b/>
          <w:bCs/>
        </w:rPr>
        <w:t>-02</w:t>
      </w:r>
      <w:r w:rsidR="00312E3E" w:rsidRPr="0069504E">
        <w:rPr>
          <w:b/>
          <w:bCs/>
        </w:rPr>
        <w:t xml:space="preserve"> / CULANTH 611</w:t>
      </w:r>
      <w:r w:rsidRPr="0069504E">
        <w:rPr>
          <w:b/>
          <w:bCs/>
        </w:rPr>
        <w:t>-02</w:t>
      </w:r>
    </w:p>
    <w:p w:rsidR="00232A80" w:rsidRPr="0069504E" w:rsidRDefault="00232A80" w:rsidP="00232A80">
      <w:pPr>
        <w:spacing w:after="0" w:line="240" w:lineRule="auto"/>
        <w:jc w:val="center"/>
        <w:rPr>
          <w:rFonts w:cstheme="minorHAnsi"/>
          <w:b/>
        </w:rPr>
      </w:pPr>
      <w:r w:rsidRPr="0069504E">
        <w:rPr>
          <w:rFonts w:cstheme="minorHAnsi"/>
          <w:b/>
        </w:rPr>
        <w:t>Global Mental Health</w:t>
      </w:r>
    </w:p>
    <w:p w:rsidR="00232A80" w:rsidRPr="0069504E" w:rsidRDefault="00287DF9" w:rsidP="00232A80">
      <w:pPr>
        <w:spacing w:after="0" w:line="240" w:lineRule="auto"/>
        <w:jc w:val="center"/>
        <w:rPr>
          <w:rFonts w:cstheme="minorHAnsi"/>
          <w:b/>
        </w:rPr>
      </w:pPr>
      <w:r w:rsidRPr="0069504E">
        <w:rPr>
          <w:rFonts w:cstheme="minorHAnsi"/>
          <w:b/>
        </w:rPr>
        <w:t>Fall 201</w:t>
      </w:r>
      <w:r w:rsidR="00151144" w:rsidRPr="0069504E">
        <w:rPr>
          <w:rFonts w:cstheme="minorHAnsi"/>
          <w:b/>
        </w:rPr>
        <w:t>5</w:t>
      </w:r>
      <w:r w:rsidR="0069504E" w:rsidRPr="0069504E">
        <w:rPr>
          <w:rFonts w:cstheme="minorHAnsi"/>
          <w:b/>
        </w:rPr>
        <w:t xml:space="preserve"> (revised 17 September 2015)</w:t>
      </w:r>
    </w:p>
    <w:p w:rsidR="00232A80" w:rsidRPr="0069504E" w:rsidRDefault="00232A80" w:rsidP="00232A80">
      <w:pPr>
        <w:spacing w:after="0" w:line="240" w:lineRule="auto"/>
        <w:rPr>
          <w:rFonts w:cstheme="minorHAnsi"/>
        </w:rPr>
      </w:pPr>
      <w:r w:rsidRPr="0069504E">
        <w:rPr>
          <w:rFonts w:cstheme="minorHAnsi"/>
          <w:b/>
        </w:rPr>
        <w:t>Instructor:</w:t>
      </w:r>
      <w:r w:rsidR="00625B55" w:rsidRPr="0069504E">
        <w:rPr>
          <w:rFonts w:cstheme="minorHAnsi"/>
        </w:rPr>
        <w:tab/>
        <w:t>Brandon Kohrt, MD, PhD</w:t>
      </w:r>
    </w:p>
    <w:p w:rsidR="00232A80" w:rsidRPr="0069504E" w:rsidRDefault="00625B55" w:rsidP="00232A80">
      <w:pPr>
        <w:spacing w:after="0" w:line="240" w:lineRule="auto"/>
        <w:ind w:left="720" w:firstLine="720"/>
        <w:rPr>
          <w:rFonts w:cstheme="minorHAnsi"/>
        </w:rPr>
      </w:pPr>
      <w:r w:rsidRPr="0069504E">
        <w:rPr>
          <w:rFonts w:cstheme="minorHAnsi"/>
        </w:rPr>
        <w:t>Trent Hall, Rm 213</w:t>
      </w:r>
    </w:p>
    <w:p w:rsidR="00232A80" w:rsidRPr="0069504E" w:rsidRDefault="00F25C19" w:rsidP="00232A80">
      <w:pPr>
        <w:spacing w:after="0" w:line="240" w:lineRule="auto"/>
        <w:ind w:left="720" w:firstLine="720"/>
        <w:rPr>
          <w:rFonts w:cstheme="minorHAnsi"/>
        </w:rPr>
      </w:pPr>
      <w:hyperlink r:id="rId7" w:history="1">
        <w:r w:rsidR="00312E3E" w:rsidRPr="0069504E">
          <w:rPr>
            <w:rStyle w:val="Hyperlink"/>
            <w:rFonts w:cstheme="minorHAnsi"/>
          </w:rPr>
          <w:t>brandon.kohrt@dm.duke.edu</w:t>
        </w:r>
      </w:hyperlink>
    </w:p>
    <w:p w:rsidR="00232A80" w:rsidRPr="0069504E" w:rsidRDefault="00232A80" w:rsidP="00232A80">
      <w:pPr>
        <w:spacing w:after="0"/>
        <w:rPr>
          <w:rFonts w:cstheme="minorHAnsi"/>
        </w:rPr>
      </w:pPr>
      <w:r w:rsidRPr="0069504E">
        <w:rPr>
          <w:rFonts w:cstheme="minorHAnsi"/>
          <w:b/>
        </w:rPr>
        <w:t>Class times:</w:t>
      </w:r>
      <w:r w:rsidRPr="0069504E">
        <w:rPr>
          <w:rFonts w:cstheme="minorHAnsi"/>
        </w:rPr>
        <w:tab/>
      </w:r>
      <w:r w:rsidR="00625B55" w:rsidRPr="0069504E">
        <w:rPr>
          <w:rFonts w:cstheme="minorHAnsi"/>
        </w:rPr>
        <w:t>Thursday 3:05-5:30pm</w:t>
      </w:r>
    </w:p>
    <w:p w:rsidR="00232A80" w:rsidRPr="0069504E" w:rsidRDefault="00232A80" w:rsidP="00232A80">
      <w:pPr>
        <w:spacing w:after="0"/>
        <w:rPr>
          <w:rFonts w:cstheme="minorHAnsi"/>
        </w:rPr>
      </w:pPr>
      <w:r w:rsidRPr="0069504E">
        <w:rPr>
          <w:rFonts w:cstheme="minorHAnsi"/>
          <w:b/>
        </w:rPr>
        <w:t>Class location:</w:t>
      </w:r>
      <w:r w:rsidR="00287DF9" w:rsidRPr="0069504E">
        <w:rPr>
          <w:rFonts w:cstheme="minorHAnsi"/>
        </w:rPr>
        <w:tab/>
      </w:r>
      <w:r w:rsidR="00151144" w:rsidRPr="0069504E">
        <w:rPr>
          <w:rFonts w:cstheme="minorHAnsi"/>
        </w:rPr>
        <w:t>Trent 039A</w:t>
      </w:r>
    </w:p>
    <w:p w:rsidR="00232A80" w:rsidRPr="0069504E" w:rsidRDefault="00232A80" w:rsidP="00232A80">
      <w:pPr>
        <w:spacing w:after="0"/>
        <w:rPr>
          <w:rFonts w:cstheme="minorHAnsi"/>
        </w:rPr>
      </w:pPr>
      <w:r w:rsidRPr="0069504E">
        <w:rPr>
          <w:rFonts w:cstheme="minorHAnsi"/>
          <w:b/>
        </w:rPr>
        <w:t>Office hours:</w:t>
      </w:r>
      <w:r w:rsidRPr="0069504E">
        <w:rPr>
          <w:rFonts w:cstheme="minorHAnsi"/>
        </w:rPr>
        <w:tab/>
      </w:r>
      <w:r w:rsidR="00151144" w:rsidRPr="0069504E">
        <w:rPr>
          <w:rFonts w:cstheme="minorHAnsi"/>
        </w:rPr>
        <w:t>B</w:t>
      </w:r>
      <w:r w:rsidRPr="0069504E">
        <w:rPr>
          <w:rFonts w:cstheme="minorHAnsi"/>
        </w:rPr>
        <w:t>y appointment</w:t>
      </w:r>
      <w:r w:rsidRPr="0069504E">
        <w:rPr>
          <w:rFonts w:cstheme="minorHAnsi"/>
        </w:rPr>
        <w:tab/>
      </w:r>
      <w:r w:rsidRPr="0069504E">
        <w:rPr>
          <w:rFonts w:cstheme="minorHAnsi"/>
        </w:rPr>
        <w:tab/>
      </w:r>
    </w:p>
    <w:p w:rsidR="00625B55" w:rsidRPr="0069504E" w:rsidRDefault="00232A80" w:rsidP="00625B55">
      <w:pPr>
        <w:spacing w:before="100" w:beforeAutospacing="1" w:after="100" w:afterAutospacing="1"/>
      </w:pPr>
      <w:r w:rsidRPr="0069504E">
        <w:rPr>
          <w:rFonts w:cstheme="minorHAnsi"/>
          <w:b/>
        </w:rPr>
        <w:t>Course Description:</w:t>
      </w:r>
      <w:r w:rsidR="00287DF9" w:rsidRPr="0069504E">
        <w:rPr>
          <w:rFonts w:cstheme="minorHAnsi"/>
        </w:rPr>
        <w:t>We will e</w:t>
      </w:r>
      <w:r w:rsidR="00287DF9" w:rsidRPr="0069504E">
        <w:t>xamine</w:t>
      </w:r>
      <w:r w:rsidR="00625B55" w:rsidRPr="0069504E">
        <w:t xml:space="preserve"> global mental health from the perspectives of culture, public health, epidemiology, human rights, and intervention. Disciplinary approaches include cross-cultural psychiatry, medical anthropology, epidemiology, and public health behavioral change. Topics include ethics, stigma, cross-cultural classification of mental health, ethnopsychology, trauma, political violence, disasters, and displacement and migration. Special populations include children and adolescents, ethnic and caste minorities, refugees, survivors of complex emergencies, and persons living with chronic disease.  Mental health is examined in a biocultural life-course perspective. The course highlights mixed-methods approaches to research and intervention evaluation incorporating quantitative and qualitative approaches. </w:t>
      </w:r>
    </w:p>
    <w:p w:rsidR="00232A80" w:rsidRPr="0069504E" w:rsidRDefault="00232A80" w:rsidP="00232A80">
      <w:pPr>
        <w:spacing w:after="0"/>
        <w:rPr>
          <w:rFonts w:cstheme="minorHAnsi"/>
          <w:b/>
        </w:rPr>
      </w:pPr>
      <w:r w:rsidRPr="0069504E">
        <w:rPr>
          <w:rFonts w:cstheme="minorHAnsi"/>
          <w:b/>
        </w:rPr>
        <w:t>Course objectives:</w:t>
      </w:r>
    </w:p>
    <w:p w:rsidR="00232A80" w:rsidRPr="0069504E" w:rsidRDefault="00232A80" w:rsidP="00232A80">
      <w:pPr>
        <w:spacing w:after="0"/>
        <w:rPr>
          <w:rFonts w:cstheme="minorHAnsi"/>
        </w:rPr>
      </w:pPr>
      <w:r w:rsidRPr="0069504E">
        <w:rPr>
          <w:rFonts w:cstheme="minorHAnsi"/>
        </w:rPr>
        <w:t xml:space="preserve">By the end of the </w:t>
      </w:r>
      <w:r w:rsidR="008A6790" w:rsidRPr="0069504E">
        <w:rPr>
          <w:rFonts w:cstheme="minorHAnsi"/>
        </w:rPr>
        <w:t>course,</w:t>
      </w:r>
      <w:r w:rsidRPr="0069504E">
        <w:rPr>
          <w:rFonts w:cstheme="minorHAnsi"/>
        </w:rPr>
        <w:t xml:space="preserve"> students will be able to:</w:t>
      </w:r>
    </w:p>
    <w:p w:rsidR="00905AF3" w:rsidRPr="0069504E" w:rsidRDefault="00232A80" w:rsidP="00232A80">
      <w:pPr>
        <w:spacing w:after="0"/>
        <w:rPr>
          <w:rFonts w:cstheme="minorHAnsi"/>
        </w:rPr>
      </w:pPr>
      <w:r w:rsidRPr="0069504E">
        <w:rPr>
          <w:rFonts w:cstheme="minorHAnsi"/>
        </w:rPr>
        <w:t xml:space="preserve">-Describe the </w:t>
      </w:r>
      <w:r w:rsidR="00905AF3" w:rsidRPr="0069504E">
        <w:rPr>
          <w:rFonts w:cstheme="minorHAnsi"/>
        </w:rPr>
        <w:t>historical origins of global mental health as a field of research</w:t>
      </w:r>
    </w:p>
    <w:p w:rsidR="00905AF3" w:rsidRPr="0069504E" w:rsidRDefault="00905AF3" w:rsidP="00232A80">
      <w:pPr>
        <w:spacing w:after="0"/>
        <w:rPr>
          <w:rFonts w:cstheme="minorHAnsi"/>
        </w:rPr>
      </w:pPr>
      <w:r w:rsidRPr="0069504E">
        <w:rPr>
          <w:rFonts w:cstheme="minorHAnsi"/>
        </w:rPr>
        <w:t>- Describe the impact of stigma and human rights violations on the experience of mental health cross-culturally</w:t>
      </w:r>
    </w:p>
    <w:p w:rsidR="00905AF3" w:rsidRPr="0069504E" w:rsidRDefault="00905AF3" w:rsidP="00232A80">
      <w:pPr>
        <w:spacing w:after="0"/>
        <w:rPr>
          <w:rFonts w:cstheme="minorHAnsi"/>
        </w:rPr>
      </w:pPr>
      <w:r w:rsidRPr="0069504E">
        <w:rPr>
          <w:rFonts w:cstheme="minorHAnsi"/>
        </w:rPr>
        <w:t>- Describe the challenges in cross-cultural assessment of mental health including epidemiological studies</w:t>
      </w:r>
    </w:p>
    <w:p w:rsidR="00905AF3" w:rsidRPr="0069504E" w:rsidRDefault="00905AF3" w:rsidP="00232A80">
      <w:pPr>
        <w:spacing w:after="0"/>
        <w:rPr>
          <w:rFonts w:cstheme="minorHAnsi"/>
        </w:rPr>
      </w:pPr>
      <w:r w:rsidRPr="0069504E">
        <w:rPr>
          <w:rFonts w:cstheme="minorHAnsi"/>
        </w:rPr>
        <w:t>- Critically review global mental health research from a cultural perspective</w:t>
      </w:r>
    </w:p>
    <w:p w:rsidR="00232A80" w:rsidRPr="0069504E" w:rsidRDefault="00905AF3" w:rsidP="00905AF3">
      <w:pPr>
        <w:spacing w:after="0"/>
        <w:rPr>
          <w:rFonts w:cstheme="minorHAnsi"/>
        </w:rPr>
      </w:pPr>
      <w:r w:rsidRPr="0069504E">
        <w:rPr>
          <w:rFonts w:cstheme="minorHAnsi"/>
        </w:rPr>
        <w:t>- Complete a systematic review on a selected topic in global mental health</w:t>
      </w:r>
    </w:p>
    <w:p w:rsidR="00232A80" w:rsidRPr="0069504E" w:rsidRDefault="00232A80" w:rsidP="00232A80">
      <w:pPr>
        <w:spacing w:after="0"/>
        <w:rPr>
          <w:rFonts w:cstheme="minorHAnsi"/>
        </w:rPr>
      </w:pPr>
    </w:p>
    <w:p w:rsidR="00232A80" w:rsidRPr="0069504E" w:rsidRDefault="00232A80" w:rsidP="00232A80">
      <w:pPr>
        <w:spacing w:after="0"/>
        <w:rPr>
          <w:rFonts w:cstheme="minorHAnsi"/>
          <w:b/>
        </w:rPr>
      </w:pPr>
      <w:r w:rsidRPr="0069504E">
        <w:rPr>
          <w:rFonts w:cstheme="minorHAnsi"/>
          <w:b/>
        </w:rPr>
        <w:t>Course Readings:</w:t>
      </w:r>
    </w:p>
    <w:p w:rsidR="00232A80" w:rsidRPr="0069504E" w:rsidRDefault="00232A80" w:rsidP="00367359">
      <w:pPr>
        <w:spacing w:after="0" w:line="240" w:lineRule="auto"/>
        <w:rPr>
          <w:rFonts w:cstheme="minorHAnsi"/>
        </w:rPr>
      </w:pPr>
      <w:r w:rsidRPr="0069504E">
        <w:rPr>
          <w:rFonts w:cstheme="minorHAnsi"/>
        </w:rPr>
        <w:t xml:space="preserve">Articles as assigned </w:t>
      </w:r>
      <w:r w:rsidR="00905AF3" w:rsidRPr="0069504E">
        <w:rPr>
          <w:rFonts w:cstheme="minorHAnsi"/>
        </w:rPr>
        <w:t>will be</w:t>
      </w:r>
      <w:r w:rsidRPr="0069504E">
        <w:rPr>
          <w:rFonts w:cstheme="minorHAnsi"/>
        </w:rPr>
        <w:t xml:space="preserve"> posted on Sakai.  </w:t>
      </w:r>
    </w:p>
    <w:tbl>
      <w:tblPr>
        <w:tblStyle w:val="TableGrid"/>
        <w:tblW w:w="0" w:type="auto"/>
        <w:tblLook w:val="04A0"/>
      </w:tblPr>
      <w:tblGrid>
        <w:gridCol w:w="1574"/>
        <w:gridCol w:w="1574"/>
        <w:gridCol w:w="1574"/>
        <w:gridCol w:w="1574"/>
      </w:tblGrid>
      <w:tr w:rsidR="00232A80" w:rsidRPr="0069504E" w:rsidTr="00232A80">
        <w:trPr>
          <w:trHeight w:val="262"/>
        </w:trPr>
        <w:tc>
          <w:tcPr>
            <w:tcW w:w="1574" w:type="dxa"/>
          </w:tcPr>
          <w:p w:rsidR="00232A80" w:rsidRPr="0069504E" w:rsidRDefault="00232A80" w:rsidP="00232A80">
            <w:pPr>
              <w:jc w:val="center"/>
              <w:rPr>
                <w:rFonts w:cstheme="minorHAnsi"/>
                <w:b/>
              </w:rPr>
            </w:pPr>
            <w:r w:rsidRPr="0069504E">
              <w:rPr>
                <w:rFonts w:cstheme="minorHAnsi"/>
                <w:b/>
              </w:rPr>
              <w:t>Percent Score</w:t>
            </w:r>
          </w:p>
        </w:tc>
        <w:tc>
          <w:tcPr>
            <w:tcW w:w="1574" w:type="dxa"/>
          </w:tcPr>
          <w:p w:rsidR="00232A80" w:rsidRPr="0069504E" w:rsidRDefault="00232A80" w:rsidP="00232A80">
            <w:pPr>
              <w:jc w:val="center"/>
              <w:rPr>
                <w:rFonts w:cstheme="minorHAnsi"/>
                <w:b/>
              </w:rPr>
            </w:pPr>
            <w:r w:rsidRPr="0069504E">
              <w:rPr>
                <w:rFonts w:cstheme="minorHAnsi"/>
                <w:b/>
              </w:rPr>
              <w:t>Grade</w:t>
            </w:r>
          </w:p>
        </w:tc>
        <w:tc>
          <w:tcPr>
            <w:tcW w:w="1574" w:type="dxa"/>
          </w:tcPr>
          <w:p w:rsidR="00232A80" w:rsidRPr="0069504E" w:rsidRDefault="00232A80" w:rsidP="00232A80">
            <w:pPr>
              <w:jc w:val="center"/>
              <w:rPr>
                <w:rFonts w:cstheme="minorHAnsi"/>
                <w:b/>
              </w:rPr>
            </w:pPr>
            <w:r w:rsidRPr="0069504E">
              <w:rPr>
                <w:rFonts w:cstheme="minorHAnsi"/>
                <w:b/>
              </w:rPr>
              <w:t>Percent Score</w:t>
            </w:r>
          </w:p>
        </w:tc>
        <w:tc>
          <w:tcPr>
            <w:tcW w:w="1574" w:type="dxa"/>
          </w:tcPr>
          <w:p w:rsidR="00232A80" w:rsidRPr="0069504E" w:rsidRDefault="00232A80" w:rsidP="00232A80">
            <w:pPr>
              <w:jc w:val="center"/>
              <w:rPr>
                <w:rFonts w:cstheme="minorHAnsi"/>
                <w:b/>
              </w:rPr>
            </w:pPr>
            <w:r w:rsidRPr="0069504E">
              <w:rPr>
                <w:rFonts w:cstheme="minorHAnsi"/>
                <w:b/>
              </w:rPr>
              <w:t>Grade</w:t>
            </w:r>
          </w:p>
        </w:tc>
      </w:tr>
      <w:tr w:rsidR="00232A80" w:rsidRPr="0069504E" w:rsidTr="00232A80">
        <w:trPr>
          <w:trHeight w:val="248"/>
        </w:trPr>
        <w:tc>
          <w:tcPr>
            <w:tcW w:w="1574" w:type="dxa"/>
          </w:tcPr>
          <w:p w:rsidR="00232A80" w:rsidRPr="0069504E" w:rsidRDefault="00232A80" w:rsidP="00232A80">
            <w:pPr>
              <w:jc w:val="center"/>
              <w:rPr>
                <w:rFonts w:cstheme="minorHAnsi"/>
                <w:b/>
              </w:rPr>
            </w:pPr>
            <w:r w:rsidRPr="0069504E">
              <w:rPr>
                <w:rFonts w:cstheme="minorHAnsi"/>
              </w:rPr>
              <w:t>98-100</w:t>
            </w:r>
          </w:p>
        </w:tc>
        <w:tc>
          <w:tcPr>
            <w:tcW w:w="1574" w:type="dxa"/>
          </w:tcPr>
          <w:p w:rsidR="00232A80" w:rsidRPr="0069504E" w:rsidRDefault="00232A80" w:rsidP="00232A80">
            <w:pPr>
              <w:jc w:val="center"/>
              <w:rPr>
                <w:rFonts w:cstheme="minorHAnsi"/>
                <w:b/>
              </w:rPr>
            </w:pPr>
            <w:r w:rsidRPr="0069504E">
              <w:rPr>
                <w:rFonts w:cstheme="minorHAnsi"/>
              </w:rPr>
              <w:t>A+</w:t>
            </w:r>
          </w:p>
        </w:tc>
        <w:tc>
          <w:tcPr>
            <w:tcW w:w="1574" w:type="dxa"/>
          </w:tcPr>
          <w:p w:rsidR="00232A80" w:rsidRPr="0069504E" w:rsidRDefault="00232A80" w:rsidP="00232A80">
            <w:pPr>
              <w:jc w:val="center"/>
              <w:rPr>
                <w:rFonts w:cstheme="minorHAnsi"/>
                <w:b/>
              </w:rPr>
            </w:pPr>
            <w:r w:rsidRPr="0069504E">
              <w:rPr>
                <w:rFonts w:cstheme="minorHAnsi"/>
              </w:rPr>
              <w:t>78-79.9</w:t>
            </w:r>
          </w:p>
        </w:tc>
        <w:tc>
          <w:tcPr>
            <w:tcW w:w="1574" w:type="dxa"/>
          </w:tcPr>
          <w:p w:rsidR="00232A80" w:rsidRPr="0069504E" w:rsidRDefault="00232A80" w:rsidP="00232A80">
            <w:pPr>
              <w:jc w:val="center"/>
              <w:rPr>
                <w:rFonts w:cstheme="minorHAnsi"/>
                <w:b/>
              </w:rPr>
            </w:pPr>
            <w:r w:rsidRPr="0069504E">
              <w:rPr>
                <w:rFonts w:cstheme="minorHAnsi"/>
              </w:rPr>
              <w:t>C+</w:t>
            </w:r>
          </w:p>
        </w:tc>
      </w:tr>
      <w:tr w:rsidR="00232A80" w:rsidRPr="0069504E" w:rsidTr="00232A80">
        <w:trPr>
          <w:trHeight w:val="262"/>
        </w:trPr>
        <w:tc>
          <w:tcPr>
            <w:tcW w:w="1574" w:type="dxa"/>
          </w:tcPr>
          <w:p w:rsidR="00232A80" w:rsidRPr="0069504E" w:rsidRDefault="00232A80" w:rsidP="00232A80">
            <w:pPr>
              <w:jc w:val="center"/>
              <w:rPr>
                <w:rFonts w:cstheme="minorHAnsi"/>
                <w:b/>
              </w:rPr>
            </w:pPr>
            <w:r w:rsidRPr="0069504E">
              <w:rPr>
                <w:rFonts w:cstheme="minorHAnsi"/>
              </w:rPr>
              <w:t>93-97.9</w:t>
            </w:r>
          </w:p>
        </w:tc>
        <w:tc>
          <w:tcPr>
            <w:tcW w:w="1574" w:type="dxa"/>
          </w:tcPr>
          <w:p w:rsidR="00232A80" w:rsidRPr="0069504E" w:rsidRDefault="00232A80" w:rsidP="00232A80">
            <w:pPr>
              <w:jc w:val="center"/>
              <w:rPr>
                <w:rFonts w:cstheme="minorHAnsi"/>
                <w:b/>
              </w:rPr>
            </w:pPr>
            <w:r w:rsidRPr="0069504E">
              <w:rPr>
                <w:rFonts w:cstheme="minorHAnsi"/>
              </w:rPr>
              <w:t>A</w:t>
            </w:r>
          </w:p>
        </w:tc>
        <w:tc>
          <w:tcPr>
            <w:tcW w:w="1574" w:type="dxa"/>
          </w:tcPr>
          <w:p w:rsidR="00232A80" w:rsidRPr="0069504E" w:rsidRDefault="00232A80" w:rsidP="00232A80">
            <w:pPr>
              <w:jc w:val="center"/>
              <w:rPr>
                <w:rFonts w:cstheme="minorHAnsi"/>
                <w:b/>
              </w:rPr>
            </w:pPr>
            <w:r w:rsidRPr="0069504E">
              <w:rPr>
                <w:rFonts w:cstheme="minorHAnsi"/>
              </w:rPr>
              <w:t>73-77.9</w:t>
            </w:r>
          </w:p>
        </w:tc>
        <w:tc>
          <w:tcPr>
            <w:tcW w:w="1574" w:type="dxa"/>
          </w:tcPr>
          <w:p w:rsidR="00232A80" w:rsidRPr="0069504E" w:rsidRDefault="00232A80" w:rsidP="00232A80">
            <w:pPr>
              <w:jc w:val="center"/>
              <w:rPr>
                <w:rFonts w:cstheme="minorHAnsi"/>
                <w:b/>
              </w:rPr>
            </w:pPr>
            <w:r w:rsidRPr="0069504E">
              <w:rPr>
                <w:rFonts w:cstheme="minorHAnsi"/>
              </w:rPr>
              <w:t>C</w:t>
            </w:r>
          </w:p>
        </w:tc>
      </w:tr>
      <w:tr w:rsidR="00232A80" w:rsidRPr="0069504E" w:rsidTr="00232A80">
        <w:trPr>
          <w:trHeight w:val="248"/>
        </w:trPr>
        <w:tc>
          <w:tcPr>
            <w:tcW w:w="1574" w:type="dxa"/>
          </w:tcPr>
          <w:p w:rsidR="00232A80" w:rsidRPr="0069504E" w:rsidRDefault="00232A80" w:rsidP="00232A80">
            <w:pPr>
              <w:jc w:val="center"/>
              <w:rPr>
                <w:rFonts w:cstheme="minorHAnsi"/>
                <w:b/>
              </w:rPr>
            </w:pPr>
            <w:r w:rsidRPr="0069504E">
              <w:rPr>
                <w:rFonts w:cstheme="minorHAnsi"/>
              </w:rPr>
              <w:t>90-92.9</w:t>
            </w:r>
          </w:p>
        </w:tc>
        <w:tc>
          <w:tcPr>
            <w:tcW w:w="1574" w:type="dxa"/>
          </w:tcPr>
          <w:p w:rsidR="00232A80" w:rsidRPr="0069504E" w:rsidRDefault="00232A80" w:rsidP="00232A80">
            <w:pPr>
              <w:jc w:val="center"/>
              <w:rPr>
                <w:rFonts w:cstheme="minorHAnsi"/>
                <w:b/>
              </w:rPr>
            </w:pPr>
            <w:r w:rsidRPr="0069504E">
              <w:rPr>
                <w:rFonts w:cstheme="minorHAnsi"/>
              </w:rPr>
              <w:t>A-</w:t>
            </w:r>
          </w:p>
        </w:tc>
        <w:tc>
          <w:tcPr>
            <w:tcW w:w="1574" w:type="dxa"/>
          </w:tcPr>
          <w:p w:rsidR="00232A80" w:rsidRPr="0069504E" w:rsidRDefault="00232A80" w:rsidP="00232A80">
            <w:pPr>
              <w:jc w:val="center"/>
              <w:rPr>
                <w:rFonts w:cstheme="minorHAnsi"/>
                <w:b/>
              </w:rPr>
            </w:pPr>
            <w:r w:rsidRPr="0069504E">
              <w:rPr>
                <w:rFonts w:cstheme="minorHAnsi"/>
              </w:rPr>
              <w:t>70-72.9</w:t>
            </w:r>
          </w:p>
        </w:tc>
        <w:tc>
          <w:tcPr>
            <w:tcW w:w="1574" w:type="dxa"/>
          </w:tcPr>
          <w:p w:rsidR="00232A80" w:rsidRPr="0069504E" w:rsidRDefault="00232A80" w:rsidP="00232A80">
            <w:pPr>
              <w:jc w:val="center"/>
              <w:rPr>
                <w:rFonts w:cstheme="minorHAnsi"/>
                <w:b/>
              </w:rPr>
            </w:pPr>
            <w:r w:rsidRPr="0069504E">
              <w:rPr>
                <w:rFonts w:cstheme="minorHAnsi"/>
              </w:rPr>
              <w:t>C-</w:t>
            </w:r>
          </w:p>
        </w:tc>
      </w:tr>
      <w:tr w:rsidR="00232A80" w:rsidRPr="0069504E" w:rsidTr="00232A80">
        <w:trPr>
          <w:trHeight w:val="262"/>
        </w:trPr>
        <w:tc>
          <w:tcPr>
            <w:tcW w:w="1574" w:type="dxa"/>
          </w:tcPr>
          <w:p w:rsidR="00232A80" w:rsidRPr="0069504E" w:rsidRDefault="00232A80" w:rsidP="00232A80">
            <w:pPr>
              <w:jc w:val="center"/>
              <w:rPr>
                <w:rFonts w:cstheme="minorHAnsi"/>
                <w:b/>
              </w:rPr>
            </w:pPr>
            <w:r w:rsidRPr="0069504E">
              <w:rPr>
                <w:rFonts w:cstheme="minorHAnsi"/>
              </w:rPr>
              <w:t>88-89.9</w:t>
            </w:r>
          </w:p>
        </w:tc>
        <w:tc>
          <w:tcPr>
            <w:tcW w:w="1574" w:type="dxa"/>
          </w:tcPr>
          <w:p w:rsidR="00232A80" w:rsidRPr="0069504E" w:rsidRDefault="00232A80" w:rsidP="00232A80">
            <w:pPr>
              <w:jc w:val="center"/>
              <w:rPr>
                <w:rFonts w:cstheme="minorHAnsi"/>
                <w:b/>
              </w:rPr>
            </w:pPr>
            <w:r w:rsidRPr="0069504E">
              <w:rPr>
                <w:rFonts w:cstheme="minorHAnsi"/>
              </w:rPr>
              <w:t>B+</w:t>
            </w:r>
          </w:p>
        </w:tc>
        <w:tc>
          <w:tcPr>
            <w:tcW w:w="1574" w:type="dxa"/>
          </w:tcPr>
          <w:p w:rsidR="00232A80" w:rsidRPr="0069504E" w:rsidRDefault="00232A80" w:rsidP="00232A80">
            <w:pPr>
              <w:jc w:val="center"/>
              <w:rPr>
                <w:rFonts w:cstheme="minorHAnsi"/>
                <w:b/>
              </w:rPr>
            </w:pPr>
            <w:r w:rsidRPr="0069504E">
              <w:rPr>
                <w:rFonts w:cstheme="minorHAnsi"/>
              </w:rPr>
              <w:t>68-69.9</w:t>
            </w:r>
          </w:p>
        </w:tc>
        <w:tc>
          <w:tcPr>
            <w:tcW w:w="1574" w:type="dxa"/>
          </w:tcPr>
          <w:p w:rsidR="00232A80" w:rsidRPr="0069504E" w:rsidRDefault="00232A80" w:rsidP="00232A80">
            <w:pPr>
              <w:jc w:val="center"/>
              <w:rPr>
                <w:rFonts w:cstheme="minorHAnsi"/>
                <w:b/>
              </w:rPr>
            </w:pPr>
            <w:r w:rsidRPr="0069504E">
              <w:rPr>
                <w:rFonts w:cstheme="minorHAnsi"/>
              </w:rPr>
              <w:t>D+</w:t>
            </w:r>
          </w:p>
        </w:tc>
      </w:tr>
      <w:tr w:rsidR="00232A80" w:rsidRPr="0069504E" w:rsidTr="00232A80">
        <w:trPr>
          <w:trHeight w:val="248"/>
        </w:trPr>
        <w:tc>
          <w:tcPr>
            <w:tcW w:w="1574" w:type="dxa"/>
          </w:tcPr>
          <w:p w:rsidR="00232A80" w:rsidRPr="0069504E" w:rsidRDefault="00232A80" w:rsidP="00232A80">
            <w:pPr>
              <w:jc w:val="center"/>
              <w:rPr>
                <w:rFonts w:cstheme="minorHAnsi"/>
                <w:b/>
              </w:rPr>
            </w:pPr>
            <w:r w:rsidRPr="0069504E">
              <w:rPr>
                <w:rFonts w:cstheme="minorHAnsi"/>
              </w:rPr>
              <w:t>83-87.9</w:t>
            </w:r>
          </w:p>
        </w:tc>
        <w:tc>
          <w:tcPr>
            <w:tcW w:w="1574" w:type="dxa"/>
          </w:tcPr>
          <w:p w:rsidR="00232A80" w:rsidRPr="0069504E" w:rsidRDefault="00232A80" w:rsidP="00232A80">
            <w:pPr>
              <w:jc w:val="center"/>
              <w:rPr>
                <w:rFonts w:cstheme="minorHAnsi"/>
                <w:b/>
              </w:rPr>
            </w:pPr>
            <w:r w:rsidRPr="0069504E">
              <w:rPr>
                <w:rFonts w:cstheme="minorHAnsi"/>
              </w:rPr>
              <w:t>B</w:t>
            </w:r>
          </w:p>
        </w:tc>
        <w:tc>
          <w:tcPr>
            <w:tcW w:w="1574" w:type="dxa"/>
          </w:tcPr>
          <w:p w:rsidR="00232A80" w:rsidRPr="0069504E" w:rsidRDefault="00232A80" w:rsidP="00232A80">
            <w:pPr>
              <w:jc w:val="center"/>
              <w:rPr>
                <w:rFonts w:cstheme="minorHAnsi"/>
                <w:b/>
              </w:rPr>
            </w:pPr>
            <w:r w:rsidRPr="0069504E">
              <w:rPr>
                <w:rFonts w:cstheme="minorHAnsi"/>
              </w:rPr>
              <w:t>63-67.9</w:t>
            </w:r>
          </w:p>
        </w:tc>
        <w:tc>
          <w:tcPr>
            <w:tcW w:w="1574" w:type="dxa"/>
          </w:tcPr>
          <w:p w:rsidR="00232A80" w:rsidRPr="0069504E" w:rsidRDefault="00232A80" w:rsidP="00232A80">
            <w:pPr>
              <w:jc w:val="center"/>
              <w:rPr>
                <w:rFonts w:cstheme="minorHAnsi"/>
                <w:b/>
              </w:rPr>
            </w:pPr>
            <w:r w:rsidRPr="0069504E">
              <w:rPr>
                <w:rFonts w:cstheme="minorHAnsi"/>
              </w:rPr>
              <w:t>D</w:t>
            </w:r>
          </w:p>
        </w:tc>
      </w:tr>
      <w:tr w:rsidR="00232A80" w:rsidRPr="0069504E" w:rsidTr="00232A80">
        <w:trPr>
          <w:trHeight w:val="262"/>
        </w:trPr>
        <w:tc>
          <w:tcPr>
            <w:tcW w:w="1574" w:type="dxa"/>
          </w:tcPr>
          <w:p w:rsidR="00232A80" w:rsidRPr="0069504E" w:rsidRDefault="00232A80" w:rsidP="00232A80">
            <w:pPr>
              <w:jc w:val="center"/>
              <w:rPr>
                <w:rFonts w:cstheme="minorHAnsi"/>
                <w:b/>
              </w:rPr>
            </w:pPr>
            <w:r w:rsidRPr="0069504E">
              <w:rPr>
                <w:rFonts w:cstheme="minorHAnsi"/>
              </w:rPr>
              <w:t>80-82.9</w:t>
            </w:r>
          </w:p>
        </w:tc>
        <w:tc>
          <w:tcPr>
            <w:tcW w:w="1574" w:type="dxa"/>
          </w:tcPr>
          <w:p w:rsidR="00232A80" w:rsidRPr="0069504E" w:rsidRDefault="00232A80" w:rsidP="00232A80">
            <w:pPr>
              <w:jc w:val="center"/>
              <w:rPr>
                <w:rFonts w:cstheme="minorHAnsi"/>
                <w:b/>
              </w:rPr>
            </w:pPr>
            <w:r w:rsidRPr="0069504E">
              <w:rPr>
                <w:rFonts w:cstheme="minorHAnsi"/>
              </w:rPr>
              <w:t>B-</w:t>
            </w:r>
          </w:p>
        </w:tc>
        <w:tc>
          <w:tcPr>
            <w:tcW w:w="1574" w:type="dxa"/>
          </w:tcPr>
          <w:p w:rsidR="00232A80" w:rsidRPr="0069504E" w:rsidRDefault="00232A80" w:rsidP="00232A80">
            <w:pPr>
              <w:jc w:val="center"/>
              <w:rPr>
                <w:rFonts w:cstheme="minorHAnsi"/>
                <w:b/>
              </w:rPr>
            </w:pPr>
            <w:r w:rsidRPr="0069504E">
              <w:rPr>
                <w:rFonts w:cstheme="minorHAnsi"/>
              </w:rPr>
              <w:t>60-62.9</w:t>
            </w:r>
          </w:p>
        </w:tc>
        <w:tc>
          <w:tcPr>
            <w:tcW w:w="1574" w:type="dxa"/>
          </w:tcPr>
          <w:p w:rsidR="00232A80" w:rsidRPr="0069504E" w:rsidRDefault="00232A80" w:rsidP="00232A80">
            <w:pPr>
              <w:jc w:val="center"/>
              <w:rPr>
                <w:rFonts w:cstheme="minorHAnsi"/>
                <w:b/>
              </w:rPr>
            </w:pPr>
            <w:r w:rsidRPr="0069504E">
              <w:rPr>
                <w:rFonts w:cstheme="minorHAnsi"/>
              </w:rPr>
              <w:t>D-</w:t>
            </w:r>
          </w:p>
        </w:tc>
      </w:tr>
      <w:tr w:rsidR="00232A80" w:rsidRPr="0069504E" w:rsidTr="00232A80">
        <w:trPr>
          <w:trHeight w:val="262"/>
        </w:trPr>
        <w:tc>
          <w:tcPr>
            <w:tcW w:w="1574" w:type="dxa"/>
          </w:tcPr>
          <w:p w:rsidR="00232A80" w:rsidRPr="0069504E" w:rsidRDefault="00232A80" w:rsidP="00232A80">
            <w:pPr>
              <w:jc w:val="center"/>
              <w:rPr>
                <w:rFonts w:cstheme="minorHAnsi"/>
                <w:b/>
              </w:rPr>
            </w:pPr>
          </w:p>
        </w:tc>
        <w:tc>
          <w:tcPr>
            <w:tcW w:w="1574" w:type="dxa"/>
          </w:tcPr>
          <w:p w:rsidR="00232A80" w:rsidRPr="0069504E" w:rsidRDefault="00232A80" w:rsidP="00232A80">
            <w:pPr>
              <w:jc w:val="center"/>
              <w:rPr>
                <w:rFonts w:cstheme="minorHAnsi"/>
                <w:b/>
              </w:rPr>
            </w:pPr>
          </w:p>
        </w:tc>
        <w:tc>
          <w:tcPr>
            <w:tcW w:w="1574" w:type="dxa"/>
          </w:tcPr>
          <w:p w:rsidR="00232A80" w:rsidRPr="0069504E" w:rsidRDefault="00232A80" w:rsidP="00232A80">
            <w:pPr>
              <w:jc w:val="center"/>
              <w:rPr>
                <w:rFonts w:cstheme="minorHAnsi"/>
                <w:b/>
              </w:rPr>
            </w:pPr>
            <w:r w:rsidRPr="0069504E">
              <w:rPr>
                <w:rFonts w:cstheme="minorHAnsi"/>
              </w:rPr>
              <w:t>&lt;60</w:t>
            </w:r>
          </w:p>
        </w:tc>
        <w:tc>
          <w:tcPr>
            <w:tcW w:w="1574" w:type="dxa"/>
          </w:tcPr>
          <w:p w:rsidR="00232A80" w:rsidRPr="0069504E" w:rsidRDefault="00232A80" w:rsidP="00232A80">
            <w:pPr>
              <w:jc w:val="center"/>
              <w:rPr>
                <w:rFonts w:cstheme="minorHAnsi"/>
                <w:b/>
              </w:rPr>
            </w:pPr>
            <w:r w:rsidRPr="0069504E">
              <w:rPr>
                <w:rFonts w:cstheme="minorHAnsi"/>
              </w:rPr>
              <w:t>F</w:t>
            </w:r>
          </w:p>
        </w:tc>
      </w:tr>
    </w:tbl>
    <w:p w:rsidR="00232A80" w:rsidRPr="0069504E" w:rsidRDefault="00232A80" w:rsidP="00232A80">
      <w:pPr>
        <w:spacing w:after="0"/>
        <w:rPr>
          <w:rFonts w:cstheme="minorHAnsi"/>
          <w:b/>
        </w:rPr>
      </w:pPr>
    </w:p>
    <w:p w:rsidR="00232A80" w:rsidRPr="0069504E" w:rsidRDefault="00232A80" w:rsidP="00232A80">
      <w:pPr>
        <w:spacing w:after="0"/>
        <w:rPr>
          <w:rFonts w:cstheme="minorHAnsi"/>
          <w:b/>
        </w:rPr>
      </w:pPr>
      <w:r w:rsidRPr="0069504E">
        <w:rPr>
          <w:rFonts w:cstheme="minorHAnsi"/>
          <w:b/>
        </w:rPr>
        <w:t>Class requirements: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84"/>
        <w:gridCol w:w="2730"/>
        <w:gridCol w:w="1440"/>
      </w:tblGrid>
      <w:tr w:rsidR="00232A80" w:rsidRPr="0069504E" w:rsidTr="00905AF3">
        <w:tc>
          <w:tcPr>
            <w:tcW w:w="3384" w:type="dxa"/>
          </w:tcPr>
          <w:p w:rsidR="00232A80" w:rsidRPr="0069504E" w:rsidRDefault="00232A80" w:rsidP="00232A80">
            <w:pPr>
              <w:spacing w:after="0"/>
              <w:rPr>
                <w:rFonts w:cstheme="minorHAnsi"/>
                <w:i/>
              </w:rPr>
            </w:pPr>
            <w:r w:rsidRPr="0069504E">
              <w:rPr>
                <w:rFonts w:cstheme="minorHAnsi"/>
                <w:i/>
              </w:rPr>
              <w:t>Assignment</w:t>
            </w:r>
          </w:p>
        </w:tc>
        <w:tc>
          <w:tcPr>
            <w:tcW w:w="2730" w:type="dxa"/>
          </w:tcPr>
          <w:p w:rsidR="00232A80" w:rsidRPr="0069504E" w:rsidRDefault="00232A80" w:rsidP="00232A80">
            <w:pPr>
              <w:spacing w:after="0"/>
              <w:rPr>
                <w:rFonts w:cstheme="minorHAnsi"/>
                <w:i/>
              </w:rPr>
            </w:pPr>
            <w:r w:rsidRPr="0069504E">
              <w:rPr>
                <w:rFonts w:cstheme="minorHAnsi"/>
                <w:i/>
              </w:rPr>
              <w:t>Points each</w:t>
            </w:r>
          </w:p>
        </w:tc>
        <w:tc>
          <w:tcPr>
            <w:tcW w:w="1440" w:type="dxa"/>
          </w:tcPr>
          <w:p w:rsidR="00232A80" w:rsidRPr="0069504E" w:rsidRDefault="00232A80" w:rsidP="00232A80">
            <w:pPr>
              <w:spacing w:after="0"/>
              <w:rPr>
                <w:rFonts w:cstheme="minorHAnsi"/>
                <w:i/>
              </w:rPr>
            </w:pPr>
            <w:r w:rsidRPr="0069504E">
              <w:rPr>
                <w:rFonts w:cstheme="minorHAnsi"/>
                <w:i/>
              </w:rPr>
              <w:t>Total</w:t>
            </w:r>
          </w:p>
        </w:tc>
      </w:tr>
      <w:tr w:rsidR="00232A80" w:rsidRPr="0069504E" w:rsidTr="00905AF3">
        <w:tc>
          <w:tcPr>
            <w:tcW w:w="3384" w:type="dxa"/>
          </w:tcPr>
          <w:p w:rsidR="00232A80" w:rsidRPr="0069504E" w:rsidRDefault="00905AF3" w:rsidP="00232A80">
            <w:pPr>
              <w:spacing w:after="0"/>
              <w:rPr>
                <w:rFonts w:cstheme="minorHAnsi"/>
              </w:rPr>
            </w:pPr>
            <w:r w:rsidRPr="0069504E">
              <w:rPr>
                <w:rFonts w:cstheme="minorHAnsi"/>
              </w:rPr>
              <w:t>Weekly commentaries</w:t>
            </w:r>
          </w:p>
        </w:tc>
        <w:tc>
          <w:tcPr>
            <w:tcW w:w="2730" w:type="dxa"/>
          </w:tcPr>
          <w:p w:rsidR="00232A80" w:rsidRPr="0069504E" w:rsidRDefault="00905AF3" w:rsidP="00232A80">
            <w:pPr>
              <w:spacing w:after="0"/>
              <w:rPr>
                <w:rFonts w:cstheme="minorHAnsi"/>
              </w:rPr>
            </w:pPr>
            <w:r w:rsidRPr="0069504E">
              <w:rPr>
                <w:rFonts w:cstheme="minorHAnsi"/>
              </w:rPr>
              <w:t>9 commentaries x 2 pts</w:t>
            </w:r>
          </w:p>
        </w:tc>
        <w:tc>
          <w:tcPr>
            <w:tcW w:w="1440" w:type="dxa"/>
          </w:tcPr>
          <w:p w:rsidR="00232A80" w:rsidRPr="0069504E" w:rsidRDefault="00905AF3" w:rsidP="00232A80">
            <w:pPr>
              <w:spacing w:after="0"/>
              <w:rPr>
                <w:rFonts w:cstheme="minorHAnsi"/>
              </w:rPr>
            </w:pPr>
            <w:r w:rsidRPr="0069504E">
              <w:rPr>
                <w:rFonts w:cstheme="minorHAnsi"/>
              </w:rPr>
              <w:t>18</w:t>
            </w:r>
          </w:p>
        </w:tc>
      </w:tr>
      <w:tr w:rsidR="00232A80" w:rsidRPr="0069504E" w:rsidTr="00905AF3">
        <w:tc>
          <w:tcPr>
            <w:tcW w:w="3384" w:type="dxa"/>
          </w:tcPr>
          <w:p w:rsidR="00232A80" w:rsidRPr="0069504E" w:rsidRDefault="00905AF3" w:rsidP="00232A80">
            <w:pPr>
              <w:spacing w:after="0"/>
              <w:rPr>
                <w:rFonts w:cstheme="minorHAnsi"/>
              </w:rPr>
            </w:pPr>
            <w:r w:rsidRPr="0069504E">
              <w:rPr>
                <w:rFonts w:cstheme="minorHAnsi"/>
              </w:rPr>
              <w:t>Class attendance</w:t>
            </w:r>
            <w:r w:rsidR="00312E3E" w:rsidRPr="0069504E">
              <w:rPr>
                <w:rFonts w:cstheme="minorHAnsi"/>
              </w:rPr>
              <w:t xml:space="preserve"> and participation</w:t>
            </w:r>
          </w:p>
        </w:tc>
        <w:tc>
          <w:tcPr>
            <w:tcW w:w="2730" w:type="dxa"/>
          </w:tcPr>
          <w:p w:rsidR="00232A80" w:rsidRPr="0069504E" w:rsidRDefault="00905AF3" w:rsidP="00232A80">
            <w:pPr>
              <w:spacing w:after="0"/>
              <w:rPr>
                <w:rFonts w:cstheme="minorHAnsi"/>
              </w:rPr>
            </w:pPr>
            <w:r w:rsidRPr="0069504E">
              <w:rPr>
                <w:rFonts w:cstheme="minorHAnsi"/>
              </w:rPr>
              <w:t>11 classes x 2 pts</w:t>
            </w:r>
          </w:p>
        </w:tc>
        <w:tc>
          <w:tcPr>
            <w:tcW w:w="1440" w:type="dxa"/>
          </w:tcPr>
          <w:p w:rsidR="00232A80" w:rsidRPr="0069504E" w:rsidRDefault="00905AF3" w:rsidP="00232A80">
            <w:pPr>
              <w:spacing w:after="0"/>
              <w:rPr>
                <w:rFonts w:cstheme="minorHAnsi"/>
              </w:rPr>
            </w:pPr>
            <w:r w:rsidRPr="0069504E">
              <w:rPr>
                <w:rFonts w:cstheme="minorHAnsi"/>
              </w:rPr>
              <w:t>22</w:t>
            </w:r>
          </w:p>
        </w:tc>
      </w:tr>
      <w:tr w:rsidR="00232A80" w:rsidRPr="0069504E" w:rsidTr="00905AF3">
        <w:tc>
          <w:tcPr>
            <w:tcW w:w="3384" w:type="dxa"/>
          </w:tcPr>
          <w:p w:rsidR="00232A80" w:rsidRPr="0069504E" w:rsidRDefault="00905AF3" w:rsidP="00232A80">
            <w:pPr>
              <w:spacing w:after="0"/>
              <w:rPr>
                <w:rFonts w:cstheme="minorHAnsi"/>
              </w:rPr>
            </w:pPr>
            <w:r w:rsidRPr="0069504E">
              <w:rPr>
                <w:rFonts w:cstheme="minorHAnsi"/>
              </w:rPr>
              <w:t>Group presentation</w:t>
            </w:r>
          </w:p>
        </w:tc>
        <w:tc>
          <w:tcPr>
            <w:tcW w:w="2730" w:type="dxa"/>
          </w:tcPr>
          <w:p w:rsidR="00232A80" w:rsidRPr="0069504E" w:rsidRDefault="00905AF3" w:rsidP="00232A80">
            <w:pPr>
              <w:spacing w:after="0"/>
              <w:rPr>
                <w:rFonts w:cstheme="minorHAnsi"/>
              </w:rPr>
            </w:pPr>
            <w:r w:rsidRPr="0069504E">
              <w:rPr>
                <w:rFonts w:cstheme="minorHAnsi"/>
              </w:rPr>
              <w:t>1 prese</w:t>
            </w:r>
            <w:r w:rsidR="00AC0BF5" w:rsidRPr="0069504E">
              <w:rPr>
                <w:rFonts w:cstheme="minorHAnsi"/>
              </w:rPr>
              <w:t>ntation x 20</w:t>
            </w:r>
            <w:r w:rsidRPr="0069504E">
              <w:rPr>
                <w:rFonts w:cstheme="minorHAnsi"/>
              </w:rPr>
              <w:t xml:space="preserve"> pts</w:t>
            </w:r>
          </w:p>
        </w:tc>
        <w:tc>
          <w:tcPr>
            <w:tcW w:w="1440" w:type="dxa"/>
          </w:tcPr>
          <w:p w:rsidR="00232A80" w:rsidRPr="0069504E" w:rsidRDefault="00905AF3" w:rsidP="00232A80">
            <w:pPr>
              <w:spacing w:after="0"/>
              <w:rPr>
                <w:rFonts w:cstheme="minorHAnsi"/>
              </w:rPr>
            </w:pPr>
            <w:r w:rsidRPr="0069504E">
              <w:rPr>
                <w:rFonts w:cstheme="minorHAnsi"/>
              </w:rPr>
              <w:t>2</w:t>
            </w:r>
            <w:r w:rsidR="00AC0BF5" w:rsidRPr="0069504E">
              <w:rPr>
                <w:rFonts w:cstheme="minorHAnsi"/>
              </w:rPr>
              <w:t>0</w:t>
            </w:r>
          </w:p>
        </w:tc>
      </w:tr>
      <w:tr w:rsidR="00232A80" w:rsidRPr="0069504E" w:rsidTr="00905AF3">
        <w:tc>
          <w:tcPr>
            <w:tcW w:w="3384" w:type="dxa"/>
          </w:tcPr>
          <w:p w:rsidR="00232A80" w:rsidRPr="0069504E" w:rsidRDefault="00905AF3" w:rsidP="00232A80">
            <w:pPr>
              <w:spacing w:after="0"/>
              <w:rPr>
                <w:rFonts w:cstheme="minorHAnsi"/>
              </w:rPr>
            </w:pPr>
            <w:r w:rsidRPr="0069504E">
              <w:rPr>
                <w:rFonts w:cstheme="minorHAnsi"/>
              </w:rPr>
              <w:t>Systematic review</w:t>
            </w:r>
          </w:p>
        </w:tc>
        <w:tc>
          <w:tcPr>
            <w:tcW w:w="2730" w:type="dxa"/>
          </w:tcPr>
          <w:p w:rsidR="00232A80" w:rsidRPr="0069504E" w:rsidRDefault="00312E3E" w:rsidP="00232A80">
            <w:pPr>
              <w:spacing w:after="0"/>
              <w:rPr>
                <w:rFonts w:cstheme="minorHAnsi"/>
              </w:rPr>
            </w:pPr>
            <w:r w:rsidRPr="0069504E">
              <w:rPr>
                <w:rFonts w:cstheme="minorHAnsi"/>
              </w:rPr>
              <w:t>1 review x 30</w:t>
            </w:r>
            <w:r w:rsidR="00905AF3" w:rsidRPr="0069504E">
              <w:rPr>
                <w:rFonts w:cstheme="minorHAnsi"/>
              </w:rPr>
              <w:t xml:space="preserve"> pts</w:t>
            </w:r>
          </w:p>
        </w:tc>
        <w:tc>
          <w:tcPr>
            <w:tcW w:w="1440" w:type="dxa"/>
          </w:tcPr>
          <w:p w:rsidR="00232A80" w:rsidRPr="0069504E" w:rsidRDefault="00905AF3" w:rsidP="00232A80">
            <w:pPr>
              <w:spacing w:after="0"/>
              <w:rPr>
                <w:rFonts w:cstheme="minorHAnsi"/>
              </w:rPr>
            </w:pPr>
            <w:r w:rsidRPr="0069504E">
              <w:rPr>
                <w:rFonts w:cstheme="minorHAnsi"/>
              </w:rPr>
              <w:t>3</w:t>
            </w:r>
            <w:r w:rsidR="00312E3E" w:rsidRPr="0069504E">
              <w:rPr>
                <w:rFonts w:cstheme="minorHAnsi"/>
              </w:rPr>
              <w:t>0</w:t>
            </w:r>
          </w:p>
        </w:tc>
      </w:tr>
      <w:tr w:rsidR="00232A80" w:rsidRPr="0069504E" w:rsidTr="00905AF3">
        <w:tc>
          <w:tcPr>
            <w:tcW w:w="3384" w:type="dxa"/>
          </w:tcPr>
          <w:p w:rsidR="00232A80" w:rsidRPr="0069504E" w:rsidRDefault="00312E3E" w:rsidP="00232A80">
            <w:pPr>
              <w:spacing w:after="0"/>
              <w:rPr>
                <w:rFonts w:cstheme="minorHAnsi"/>
              </w:rPr>
            </w:pPr>
            <w:r w:rsidRPr="0069504E">
              <w:rPr>
                <w:rFonts w:cstheme="minorHAnsi"/>
              </w:rPr>
              <w:t>Individual presentation</w:t>
            </w:r>
          </w:p>
        </w:tc>
        <w:tc>
          <w:tcPr>
            <w:tcW w:w="2730" w:type="dxa"/>
          </w:tcPr>
          <w:p w:rsidR="00232A80" w:rsidRPr="0069504E" w:rsidRDefault="00312E3E" w:rsidP="00232A80">
            <w:pPr>
              <w:spacing w:after="0"/>
              <w:rPr>
                <w:rFonts w:cstheme="minorHAnsi"/>
              </w:rPr>
            </w:pPr>
            <w:r w:rsidRPr="0069504E">
              <w:rPr>
                <w:rFonts w:cstheme="minorHAnsi"/>
              </w:rPr>
              <w:t>1 presentation x 10 pts</w:t>
            </w:r>
          </w:p>
        </w:tc>
        <w:tc>
          <w:tcPr>
            <w:tcW w:w="1440" w:type="dxa"/>
          </w:tcPr>
          <w:p w:rsidR="00232A80" w:rsidRPr="0069504E" w:rsidRDefault="00312E3E" w:rsidP="00232A80">
            <w:pPr>
              <w:spacing w:after="0"/>
              <w:rPr>
                <w:rFonts w:cstheme="minorHAnsi"/>
              </w:rPr>
            </w:pPr>
            <w:r w:rsidRPr="0069504E">
              <w:rPr>
                <w:rFonts w:cstheme="minorHAnsi"/>
              </w:rPr>
              <w:t>10</w:t>
            </w:r>
          </w:p>
        </w:tc>
      </w:tr>
      <w:tr w:rsidR="00232A80" w:rsidRPr="0069504E" w:rsidTr="00905AF3">
        <w:tc>
          <w:tcPr>
            <w:tcW w:w="3384" w:type="dxa"/>
          </w:tcPr>
          <w:p w:rsidR="00232A80" w:rsidRPr="0069504E" w:rsidRDefault="00232A80" w:rsidP="00232A80">
            <w:pPr>
              <w:spacing w:after="0"/>
              <w:rPr>
                <w:rFonts w:cstheme="minorHAnsi"/>
              </w:rPr>
            </w:pPr>
          </w:p>
        </w:tc>
        <w:tc>
          <w:tcPr>
            <w:tcW w:w="2730" w:type="dxa"/>
          </w:tcPr>
          <w:p w:rsidR="00232A80" w:rsidRPr="0069504E" w:rsidRDefault="00232A80" w:rsidP="00232A80">
            <w:pPr>
              <w:spacing w:after="0"/>
              <w:rPr>
                <w:rFonts w:cstheme="minorHAnsi"/>
              </w:rPr>
            </w:pPr>
          </w:p>
        </w:tc>
        <w:tc>
          <w:tcPr>
            <w:tcW w:w="1440" w:type="dxa"/>
          </w:tcPr>
          <w:p w:rsidR="00232A80" w:rsidRPr="0069504E" w:rsidRDefault="00232A80" w:rsidP="00232A80">
            <w:pPr>
              <w:spacing w:after="0"/>
              <w:rPr>
                <w:rFonts w:cstheme="minorHAnsi"/>
                <w:b/>
                <w:bCs/>
              </w:rPr>
            </w:pPr>
            <w:r w:rsidRPr="0069504E">
              <w:rPr>
                <w:rFonts w:cstheme="minorHAnsi"/>
                <w:b/>
                <w:bCs/>
              </w:rPr>
              <w:t>100</w:t>
            </w:r>
          </w:p>
        </w:tc>
      </w:tr>
    </w:tbl>
    <w:p w:rsidR="00232A80" w:rsidRPr="0069504E" w:rsidRDefault="00124845" w:rsidP="00232A80">
      <w:pPr>
        <w:spacing w:after="0"/>
        <w:rPr>
          <w:rFonts w:cstheme="minorHAnsi"/>
        </w:rPr>
      </w:pPr>
      <w:r w:rsidRPr="0069504E">
        <w:rPr>
          <w:rFonts w:cstheme="minorHAnsi"/>
          <w:i/>
          <w:iCs/>
        </w:rPr>
        <w:lastRenderedPageBreak/>
        <w:t xml:space="preserve">Weekly commentaries </w:t>
      </w:r>
      <w:r w:rsidRPr="0069504E">
        <w:rPr>
          <w:rFonts w:cstheme="minorHAnsi"/>
        </w:rPr>
        <w:t>– A double-spaced 2 page</w:t>
      </w:r>
      <w:r w:rsidR="00F76A0B" w:rsidRPr="0069504E">
        <w:rPr>
          <w:rFonts w:cstheme="minorHAnsi"/>
        </w:rPr>
        <w:t xml:space="preserve">12-point font </w:t>
      </w:r>
      <w:r w:rsidRPr="0069504E">
        <w:rPr>
          <w:rFonts w:cstheme="minorHAnsi"/>
        </w:rPr>
        <w:t xml:space="preserve">response </w:t>
      </w:r>
      <w:r w:rsidR="00903563" w:rsidRPr="0069504E">
        <w:rPr>
          <w:rFonts w:cstheme="minorHAnsi"/>
        </w:rPr>
        <w:t>paper should be submitted each week except Week 1, Week 13, and the week you present. It can include components such as</w:t>
      </w:r>
      <w:r w:rsidRPr="0069504E">
        <w:rPr>
          <w:rFonts w:cstheme="minorHAnsi"/>
        </w:rPr>
        <w:t xml:space="preserve"> (1) brief summary of the major issues in each article, (2</w:t>
      </w:r>
      <w:r w:rsidR="008A6790" w:rsidRPr="0069504E">
        <w:rPr>
          <w:rFonts w:cstheme="minorHAnsi"/>
        </w:rPr>
        <w:t>) critiques</w:t>
      </w:r>
      <w:r w:rsidRPr="0069504E">
        <w:rPr>
          <w:rFonts w:cstheme="minorHAnsi"/>
        </w:rPr>
        <w:t xml:space="preserve"> and </w:t>
      </w:r>
      <w:r w:rsidR="00E1275F" w:rsidRPr="0069504E">
        <w:rPr>
          <w:rFonts w:cstheme="minorHAnsi"/>
        </w:rPr>
        <w:t xml:space="preserve">limitations of the articles, </w:t>
      </w:r>
      <w:r w:rsidRPr="0069504E">
        <w:rPr>
          <w:rFonts w:cstheme="minorHAnsi"/>
        </w:rPr>
        <w:t>(</w:t>
      </w:r>
      <w:r w:rsidR="00F76A0B" w:rsidRPr="0069504E">
        <w:rPr>
          <w:rFonts w:cstheme="minorHAnsi"/>
        </w:rPr>
        <w:t>3</w:t>
      </w:r>
      <w:r w:rsidRPr="0069504E">
        <w:rPr>
          <w:rFonts w:cstheme="minorHAnsi"/>
        </w:rPr>
        <w:t>) public health impact and significance of the articles</w:t>
      </w:r>
      <w:r w:rsidR="00E1275F" w:rsidRPr="0069504E">
        <w:rPr>
          <w:rFonts w:cstheme="minorHAnsi"/>
        </w:rPr>
        <w:t>, and (</w:t>
      </w:r>
      <w:r w:rsidR="00F76A0B" w:rsidRPr="0069504E">
        <w:rPr>
          <w:rFonts w:cstheme="minorHAnsi"/>
        </w:rPr>
        <w:t>4</w:t>
      </w:r>
      <w:r w:rsidR="00E1275F" w:rsidRPr="0069504E">
        <w:rPr>
          <w:rFonts w:cstheme="minorHAnsi"/>
        </w:rPr>
        <w:t>) please indicate which of the articles you found the most useful and the least useful for your global mental health education</w:t>
      </w:r>
      <w:r w:rsidRPr="0069504E">
        <w:rPr>
          <w:rFonts w:cstheme="minorHAnsi"/>
        </w:rPr>
        <w:t xml:space="preserve">. Response papers are due by 11:59pm on the </w:t>
      </w:r>
      <w:r w:rsidR="00F76A0B" w:rsidRPr="0069504E">
        <w:rPr>
          <w:rFonts w:cstheme="minorHAnsi"/>
        </w:rPr>
        <w:t>Tuesday</w:t>
      </w:r>
      <w:r w:rsidRPr="0069504E">
        <w:rPr>
          <w:rFonts w:cstheme="minorHAnsi"/>
        </w:rPr>
        <w:t xml:space="preserve"> prior to class. </w:t>
      </w:r>
      <w:r w:rsidR="00E577A8" w:rsidRPr="0069504E">
        <w:rPr>
          <w:rFonts w:cstheme="minorHAnsi"/>
        </w:rPr>
        <w:t xml:space="preserve">A total of 9 commentaries are required. </w:t>
      </w:r>
    </w:p>
    <w:p w:rsidR="00124845" w:rsidRPr="0069504E" w:rsidRDefault="00124845" w:rsidP="00232A80">
      <w:pPr>
        <w:spacing w:after="0"/>
        <w:rPr>
          <w:rFonts w:cstheme="minorHAnsi"/>
        </w:rPr>
      </w:pPr>
    </w:p>
    <w:p w:rsidR="00124845" w:rsidRPr="0069504E" w:rsidRDefault="00124845" w:rsidP="00312E3E">
      <w:pPr>
        <w:spacing w:after="0"/>
        <w:rPr>
          <w:rFonts w:cstheme="minorHAnsi"/>
        </w:rPr>
      </w:pPr>
      <w:r w:rsidRPr="0069504E">
        <w:rPr>
          <w:rFonts w:cstheme="minorHAnsi"/>
          <w:i/>
          <w:iCs/>
        </w:rPr>
        <w:t>Class attendance</w:t>
      </w:r>
      <w:r w:rsidR="00312E3E" w:rsidRPr="0069504E">
        <w:rPr>
          <w:rFonts w:cstheme="minorHAnsi"/>
          <w:i/>
          <w:iCs/>
        </w:rPr>
        <w:t xml:space="preserve"> and participation</w:t>
      </w:r>
      <w:r w:rsidRPr="0069504E">
        <w:rPr>
          <w:rFonts w:cstheme="minorHAnsi"/>
          <w:i/>
          <w:iCs/>
        </w:rPr>
        <w:t xml:space="preserve"> – </w:t>
      </w:r>
      <w:r w:rsidRPr="0069504E">
        <w:rPr>
          <w:rFonts w:cstheme="minorHAnsi"/>
        </w:rPr>
        <w:t xml:space="preserve">Due to the seminar nature of the class, </w:t>
      </w:r>
      <w:r w:rsidR="00AC0BF5" w:rsidRPr="0069504E">
        <w:rPr>
          <w:rFonts w:cstheme="minorHAnsi"/>
        </w:rPr>
        <w:t xml:space="preserve">class attendance is expected, mandatory, and crucial to success in the class. Students are allowed two excused absences in which the professor must be notified at least one hour prior to class. Therefore, student must </w:t>
      </w:r>
      <w:r w:rsidR="008A6790" w:rsidRPr="0069504E">
        <w:rPr>
          <w:rFonts w:cstheme="minorHAnsi"/>
        </w:rPr>
        <w:t>attend</w:t>
      </w:r>
      <w:r w:rsidR="00AC0BF5" w:rsidRPr="0069504E">
        <w:rPr>
          <w:rFonts w:cstheme="minorHAnsi"/>
        </w:rPr>
        <w:t xml:space="preserve"> at a minimum of 11 out of 13 sessions. </w:t>
      </w:r>
      <w:r w:rsidR="00312E3E" w:rsidRPr="0069504E">
        <w:rPr>
          <w:rFonts w:cstheme="minorHAnsi"/>
        </w:rPr>
        <w:t xml:space="preserve">Respectful class participation is required for successful seminar learning. </w:t>
      </w:r>
      <w:r w:rsidR="00AC0BF5" w:rsidRPr="0069504E">
        <w:rPr>
          <w:rFonts w:cstheme="minorHAnsi"/>
        </w:rPr>
        <w:t>Two points a</w:t>
      </w:r>
      <w:r w:rsidR="00312E3E" w:rsidRPr="0069504E">
        <w:rPr>
          <w:rFonts w:cstheme="minorHAnsi"/>
        </w:rPr>
        <w:t xml:space="preserve">re given for each class attendance </w:t>
      </w:r>
      <w:r w:rsidR="00E577A8" w:rsidRPr="0069504E">
        <w:rPr>
          <w:rFonts w:cstheme="minorHAnsi"/>
        </w:rPr>
        <w:t>with significant</w:t>
      </w:r>
      <w:r w:rsidR="00312E3E" w:rsidRPr="0069504E">
        <w:rPr>
          <w:rFonts w:cstheme="minorHAnsi"/>
        </w:rPr>
        <w:t xml:space="preserve"> participation</w:t>
      </w:r>
      <w:r w:rsidR="00AC0BF5" w:rsidRPr="0069504E">
        <w:rPr>
          <w:rFonts w:cstheme="minorHAnsi"/>
        </w:rPr>
        <w:t xml:space="preserve"> with a maximum of 22 points. Please arrive on time and ready to participate.  Arriving more than 10 minutes late (leaving more than 10 minutes early) will be counted as missing half the class (i.e. a loss of 1 point).  </w:t>
      </w:r>
    </w:p>
    <w:p w:rsidR="00124845" w:rsidRPr="0069504E" w:rsidRDefault="00124845" w:rsidP="00232A80">
      <w:pPr>
        <w:spacing w:after="0"/>
        <w:rPr>
          <w:rFonts w:cstheme="minorHAnsi"/>
        </w:rPr>
      </w:pPr>
    </w:p>
    <w:p w:rsidR="00F76A0B" w:rsidRPr="0069504E" w:rsidRDefault="00F76A0B" w:rsidP="00F76A0B">
      <w:pPr>
        <w:spacing w:after="0"/>
        <w:rPr>
          <w:rFonts w:cstheme="minorHAnsi"/>
        </w:rPr>
      </w:pPr>
      <w:r w:rsidRPr="0069504E">
        <w:rPr>
          <w:rFonts w:cstheme="minorHAnsi"/>
          <w:i/>
          <w:iCs/>
        </w:rPr>
        <w:t xml:space="preserve">Individual Presentations – </w:t>
      </w:r>
      <w:r w:rsidRPr="0069504E">
        <w:rPr>
          <w:rFonts w:cstheme="minorHAnsi"/>
        </w:rPr>
        <w:t xml:space="preserve">At the beginning of class each week, 2-3 students will initiate the discussion by reviewing the articles. Students should </w:t>
      </w:r>
      <w:r w:rsidR="008A6790" w:rsidRPr="0069504E">
        <w:rPr>
          <w:rFonts w:cstheme="minorHAnsi"/>
        </w:rPr>
        <w:t>divide</w:t>
      </w:r>
      <w:r w:rsidRPr="0069504E">
        <w:rPr>
          <w:rFonts w:cstheme="minorHAnsi"/>
        </w:rPr>
        <w:t xml:space="preserve"> the week’s assigned reading. Presentations should be made on PowerPoint and emailed to me by 11:59PM on Tuesday the week of the presentation. </w:t>
      </w:r>
      <w:r w:rsidR="00F24B56" w:rsidRPr="0069504E">
        <w:rPr>
          <w:rFonts w:cstheme="minorHAnsi"/>
        </w:rPr>
        <w:t xml:space="preserve">No more than 15 slides can be included. The last slide should be discussion points and questions for the class. </w:t>
      </w:r>
      <w:r w:rsidRPr="0069504E">
        <w:rPr>
          <w:rFonts w:cstheme="minorHAnsi"/>
        </w:rPr>
        <w:t xml:space="preserve">Total student presentation is limited to 20 minutes for the group, so be succinct. </w:t>
      </w:r>
      <w:r w:rsidR="00F24B56" w:rsidRPr="0069504E">
        <w:rPr>
          <w:rFonts w:cstheme="minorHAnsi"/>
        </w:rPr>
        <w:t xml:space="preserve">If presentations last longer than 20 minutes, 1 point will be deducted for every minute over 20 minutes. Please practice ahead of time to be sure you can cover the material in time.  </w:t>
      </w:r>
      <w:r w:rsidRPr="0069504E">
        <w:rPr>
          <w:rFonts w:cstheme="minorHAnsi"/>
        </w:rPr>
        <w:t xml:space="preserve"> The following areas should be addressed: purpose of the article; background; methods used; findings; limitations; implications of findings. The student should approach each article critically rather than only summarizing these issues. </w:t>
      </w:r>
    </w:p>
    <w:p w:rsidR="00F76A0B" w:rsidRPr="0069504E" w:rsidRDefault="00F76A0B" w:rsidP="00232A80">
      <w:pPr>
        <w:spacing w:after="0"/>
        <w:rPr>
          <w:rFonts w:cstheme="minorHAnsi"/>
          <w:i/>
          <w:iCs/>
        </w:rPr>
      </w:pPr>
    </w:p>
    <w:p w:rsidR="00124845" w:rsidRPr="0069504E" w:rsidRDefault="0095007A" w:rsidP="00232A80">
      <w:pPr>
        <w:spacing w:after="0"/>
        <w:rPr>
          <w:rFonts w:cstheme="minorHAnsi"/>
        </w:rPr>
      </w:pPr>
      <w:r w:rsidRPr="0069504E">
        <w:rPr>
          <w:rFonts w:cstheme="minorHAnsi"/>
          <w:i/>
          <w:iCs/>
        </w:rPr>
        <w:t xml:space="preserve">Group </w:t>
      </w:r>
      <w:r w:rsidR="008A6790" w:rsidRPr="0069504E">
        <w:rPr>
          <w:rFonts w:cstheme="minorHAnsi"/>
          <w:i/>
          <w:iCs/>
        </w:rPr>
        <w:t xml:space="preserve">presentation </w:t>
      </w:r>
      <w:r w:rsidR="008A6790" w:rsidRPr="0069504E">
        <w:rPr>
          <w:rFonts w:cstheme="minorHAnsi"/>
        </w:rPr>
        <w:t>-</w:t>
      </w:r>
      <w:r w:rsidRPr="0069504E">
        <w:rPr>
          <w:rFonts w:cstheme="minorHAnsi"/>
        </w:rPr>
        <w:t xml:space="preserve"> A group presentation related to any area of global health is required. The class will be divided into </w:t>
      </w:r>
      <w:r w:rsidR="00E577A8" w:rsidRPr="0069504E">
        <w:rPr>
          <w:rFonts w:cstheme="minorHAnsi"/>
        </w:rPr>
        <w:t>4</w:t>
      </w:r>
      <w:r w:rsidRPr="0069504E">
        <w:rPr>
          <w:rFonts w:cstheme="minorHAnsi"/>
        </w:rPr>
        <w:t xml:space="preserve"> groups. Each group will conduct a </w:t>
      </w:r>
      <w:r w:rsidR="008A6790" w:rsidRPr="0069504E">
        <w:rPr>
          <w:rFonts w:cstheme="minorHAnsi"/>
        </w:rPr>
        <w:t>30-minute</w:t>
      </w:r>
      <w:r w:rsidRPr="0069504E">
        <w:rPr>
          <w:rFonts w:cstheme="minorHAnsi"/>
        </w:rPr>
        <w:t xml:space="preserve"> presentation</w:t>
      </w:r>
      <w:r w:rsidR="00F76A0B" w:rsidRPr="0069504E">
        <w:rPr>
          <w:rFonts w:cstheme="minorHAnsi"/>
        </w:rPr>
        <w:t xml:space="preserve">. Presentations should include </w:t>
      </w:r>
      <w:r w:rsidR="008A6790" w:rsidRPr="0069504E">
        <w:rPr>
          <w:rFonts w:cstheme="minorHAnsi"/>
        </w:rPr>
        <w:t>a 15-minute video presentation</w:t>
      </w:r>
      <w:r w:rsidR="00155093" w:rsidRPr="0069504E">
        <w:rPr>
          <w:rFonts w:cstheme="minorHAnsi"/>
        </w:rPr>
        <w:t xml:space="preserve"> that may</w:t>
      </w:r>
      <w:r w:rsidR="00F76A0B" w:rsidRPr="0069504E">
        <w:rPr>
          <w:rFonts w:cstheme="minorHAnsi"/>
        </w:rPr>
        <w:t xml:space="preserve"> then be posted on the Duke Global Mental Health website. The other 15 minutes of the presentation will be a question-and-answer session. E</w:t>
      </w:r>
      <w:r w:rsidRPr="0069504E">
        <w:rPr>
          <w:rFonts w:cstheme="minorHAnsi"/>
        </w:rPr>
        <w:t xml:space="preserve">ach member </w:t>
      </w:r>
      <w:r w:rsidR="00F76A0B" w:rsidRPr="0069504E">
        <w:rPr>
          <w:rFonts w:cstheme="minorHAnsi"/>
        </w:rPr>
        <w:t xml:space="preserve">is </w:t>
      </w:r>
      <w:r w:rsidRPr="0069504E">
        <w:rPr>
          <w:rFonts w:cstheme="minorHAnsi"/>
        </w:rPr>
        <w:t xml:space="preserve">responsible for </w:t>
      </w:r>
      <w:r w:rsidR="00F76A0B" w:rsidRPr="0069504E">
        <w:rPr>
          <w:rFonts w:cstheme="minorHAnsi"/>
        </w:rPr>
        <w:t>contributing to the project</w:t>
      </w:r>
      <w:r w:rsidRPr="0069504E">
        <w:rPr>
          <w:rFonts w:cstheme="minorHAnsi"/>
        </w:rPr>
        <w:t xml:space="preserve">. Presentations should be structured as follows: (a) public health problem – </w:t>
      </w:r>
      <w:r w:rsidRPr="0069504E">
        <w:rPr>
          <w:rFonts w:cstheme="minorHAnsi"/>
          <w:i/>
          <w:iCs/>
        </w:rPr>
        <w:t>why this matters</w:t>
      </w:r>
      <w:r w:rsidRPr="0069504E">
        <w:rPr>
          <w:rFonts w:cstheme="minorHAnsi"/>
        </w:rPr>
        <w:t>, (</w:t>
      </w:r>
      <w:r w:rsidR="00AC0BF5" w:rsidRPr="0069504E">
        <w:rPr>
          <w:rFonts w:cstheme="minorHAnsi"/>
        </w:rPr>
        <w:t>b</w:t>
      </w:r>
      <w:r w:rsidRPr="0069504E">
        <w:rPr>
          <w:rFonts w:cstheme="minorHAnsi"/>
        </w:rPr>
        <w:t xml:space="preserve">) state of the field in research and intervention </w:t>
      </w:r>
      <w:r w:rsidRPr="0069504E">
        <w:rPr>
          <w:rFonts w:cstheme="minorHAnsi"/>
        </w:rPr>
        <w:softHyphen/>
        <w:t xml:space="preserve">– </w:t>
      </w:r>
      <w:r w:rsidRPr="0069504E">
        <w:rPr>
          <w:rFonts w:cstheme="minorHAnsi"/>
          <w:i/>
          <w:iCs/>
        </w:rPr>
        <w:t>what we know</w:t>
      </w:r>
      <w:r w:rsidR="00AC0BF5" w:rsidRPr="0069504E">
        <w:rPr>
          <w:rFonts w:cstheme="minorHAnsi"/>
        </w:rPr>
        <w:t>, (c</w:t>
      </w:r>
      <w:r w:rsidRPr="0069504E">
        <w:rPr>
          <w:rFonts w:cstheme="minorHAnsi"/>
        </w:rPr>
        <w:t xml:space="preserve">) gaps in the field – </w:t>
      </w:r>
      <w:r w:rsidRPr="0069504E">
        <w:rPr>
          <w:rFonts w:cstheme="minorHAnsi"/>
          <w:i/>
          <w:iCs/>
        </w:rPr>
        <w:t>what we don’t know</w:t>
      </w:r>
      <w:r w:rsidR="00AC0BF5" w:rsidRPr="0069504E">
        <w:rPr>
          <w:rFonts w:cstheme="minorHAnsi"/>
        </w:rPr>
        <w:t>, (d</w:t>
      </w:r>
      <w:r w:rsidRPr="0069504E">
        <w:rPr>
          <w:rFonts w:cstheme="minorHAnsi"/>
        </w:rPr>
        <w:t xml:space="preserve">) proposal for additional research or intervention trial – </w:t>
      </w:r>
      <w:r w:rsidRPr="0069504E">
        <w:rPr>
          <w:rFonts w:cstheme="minorHAnsi"/>
          <w:i/>
          <w:iCs/>
        </w:rPr>
        <w:t>what we should do know</w:t>
      </w:r>
      <w:r w:rsidR="00AC0BF5" w:rsidRPr="0069504E">
        <w:rPr>
          <w:rFonts w:cstheme="minorHAnsi"/>
        </w:rPr>
        <w:t>, (e</w:t>
      </w:r>
      <w:r w:rsidRPr="0069504E">
        <w:rPr>
          <w:rFonts w:cstheme="minorHAnsi"/>
        </w:rPr>
        <w:t>) public health impact of the newly proposed research –</w:t>
      </w:r>
      <w:r w:rsidRPr="0069504E">
        <w:rPr>
          <w:rFonts w:cstheme="minorHAnsi"/>
          <w:i/>
          <w:iCs/>
        </w:rPr>
        <w:t xml:space="preserve"> how this will change the field</w:t>
      </w:r>
      <w:r w:rsidRPr="0069504E">
        <w:rPr>
          <w:rFonts w:cstheme="minorHAnsi"/>
        </w:rPr>
        <w:t>.</w:t>
      </w:r>
      <w:r w:rsidR="00AC0BF5" w:rsidRPr="0069504E">
        <w:rPr>
          <w:rFonts w:cstheme="minorHAnsi"/>
        </w:rPr>
        <w:t xml:space="preserve">One grade will be assigned per group based on overall strength of the presentation. A maximum of four points are awarded for each section for a total maximum score of 20. </w:t>
      </w:r>
      <w:r w:rsidRPr="0069504E">
        <w:rPr>
          <w:rFonts w:cstheme="minorHAnsi"/>
        </w:rPr>
        <w:tab/>
      </w:r>
    </w:p>
    <w:p w:rsidR="0095007A" w:rsidRPr="005C22E8" w:rsidRDefault="0095007A" w:rsidP="0095007A">
      <w:pPr>
        <w:pStyle w:val="ListParagraph"/>
        <w:numPr>
          <w:ilvl w:val="0"/>
          <w:numId w:val="12"/>
        </w:numPr>
        <w:spacing w:after="0"/>
        <w:rPr>
          <w:rFonts w:cstheme="minorHAnsi"/>
          <w:strike/>
        </w:rPr>
      </w:pPr>
      <w:r w:rsidRPr="005C22E8">
        <w:rPr>
          <w:rFonts w:cstheme="minorHAnsi"/>
          <w:strike/>
        </w:rPr>
        <w:t xml:space="preserve">Week </w:t>
      </w:r>
      <w:r w:rsidR="00991F7F" w:rsidRPr="005C22E8">
        <w:rPr>
          <w:rFonts w:cstheme="minorHAnsi"/>
          <w:strike/>
        </w:rPr>
        <w:t>4</w:t>
      </w:r>
      <w:r w:rsidR="000868D8" w:rsidRPr="005C22E8">
        <w:rPr>
          <w:rFonts w:cstheme="minorHAnsi"/>
          <w:strike/>
        </w:rPr>
        <w:t xml:space="preserve">: </w:t>
      </w:r>
      <w:r w:rsidRPr="005C22E8">
        <w:rPr>
          <w:rFonts w:cstheme="minorHAnsi"/>
          <w:strike/>
        </w:rPr>
        <w:t xml:space="preserve">Groups </w:t>
      </w:r>
      <w:r w:rsidR="00E577A8" w:rsidRPr="005C22E8">
        <w:rPr>
          <w:rFonts w:cstheme="minorHAnsi"/>
          <w:strike/>
        </w:rPr>
        <w:t>self-selected</w:t>
      </w:r>
      <w:r w:rsidR="00991F7F" w:rsidRPr="005C22E8">
        <w:rPr>
          <w:rFonts w:cstheme="minorHAnsi"/>
          <w:strike/>
        </w:rPr>
        <w:t xml:space="preserve"> (S</w:t>
      </w:r>
      <w:r w:rsidR="00991F7F" w:rsidRPr="005C22E8">
        <w:rPr>
          <w:rFonts w:cstheme="minorHAnsi"/>
          <w:strike/>
          <w:highlight w:val="yellow"/>
        </w:rPr>
        <w:t>eptember 17</w:t>
      </w:r>
      <w:r w:rsidR="00991F7F" w:rsidRPr="005C22E8">
        <w:rPr>
          <w:rFonts w:cstheme="minorHAnsi"/>
          <w:strike/>
          <w:highlight w:val="yellow"/>
          <w:vertAlign w:val="superscript"/>
        </w:rPr>
        <w:t>t</w:t>
      </w:r>
      <w:r w:rsidR="00991F7F" w:rsidRPr="005C22E8">
        <w:rPr>
          <w:rFonts w:cstheme="minorHAnsi"/>
          <w:strike/>
          <w:vertAlign w:val="superscript"/>
        </w:rPr>
        <w:t>h</w:t>
      </w:r>
      <w:r w:rsidR="00991F7F" w:rsidRPr="005C22E8">
        <w:rPr>
          <w:rFonts w:cstheme="minorHAnsi"/>
          <w:strike/>
        </w:rPr>
        <w:t xml:space="preserve">) </w:t>
      </w:r>
    </w:p>
    <w:p w:rsidR="0095007A" w:rsidRPr="005C22E8" w:rsidRDefault="00AC0BF5" w:rsidP="0095007A">
      <w:pPr>
        <w:pStyle w:val="ListParagraph"/>
        <w:numPr>
          <w:ilvl w:val="0"/>
          <w:numId w:val="12"/>
        </w:numPr>
        <w:spacing w:after="0"/>
        <w:rPr>
          <w:rFonts w:cstheme="minorHAnsi"/>
          <w:strike/>
        </w:rPr>
      </w:pPr>
      <w:r w:rsidRPr="005C22E8">
        <w:rPr>
          <w:rFonts w:cstheme="minorHAnsi"/>
          <w:strike/>
        </w:rPr>
        <w:t xml:space="preserve">Week </w:t>
      </w:r>
      <w:r w:rsidR="00991F7F" w:rsidRPr="005C22E8">
        <w:rPr>
          <w:rFonts w:cstheme="minorHAnsi"/>
          <w:strike/>
        </w:rPr>
        <w:t>6</w:t>
      </w:r>
      <w:r w:rsidRPr="005C22E8">
        <w:rPr>
          <w:rFonts w:cstheme="minorHAnsi"/>
          <w:strike/>
        </w:rPr>
        <w:t xml:space="preserve"> : Groups present topic ideas in class</w:t>
      </w:r>
      <w:r w:rsidR="00991F7F" w:rsidRPr="005C22E8">
        <w:rPr>
          <w:rFonts w:cstheme="minorHAnsi"/>
          <w:strike/>
        </w:rPr>
        <w:t xml:space="preserve"> (</w:t>
      </w:r>
      <w:r w:rsidR="00991F7F" w:rsidRPr="005C22E8">
        <w:rPr>
          <w:rFonts w:cstheme="minorHAnsi"/>
          <w:strike/>
          <w:highlight w:val="yellow"/>
        </w:rPr>
        <w:t>October 1</w:t>
      </w:r>
      <w:r w:rsidR="00991F7F" w:rsidRPr="005C22E8">
        <w:rPr>
          <w:rFonts w:cstheme="minorHAnsi"/>
          <w:strike/>
          <w:highlight w:val="yellow"/>
          <w:vertAlign w:val="superscript"/>
        </w:rPr>
        <w:t>s</w:t>
      </w:r>
      <w:r w:rsidR="00991F7F" w:rsidRPr="005C22E8">
        <w:rPr>
          <w:rFonts w:cstheme="minorHAnsi"/>
          <w:strike/>
          <w:vertAlign w:val="superscript"/>
        </w:rPr>
        <w:t>t</w:t>
      </w:r>
      <w:r w:rsidR="00991F7F" w:rsidRPr="005C22E8">
        <w:rPr>
          <w:rFonts w:cstheme="minorHAnsi"/>
          <w:strike/>
        </w:rPr>
        <w:t xml:space="preserve">) </w:t>
      </w:r>
    </w:p>
    <w:p w:rsidR="00AC0BF5" w:rsidRPr="005C22E8" w:rsidRDefault="00AC0BF5" w:rsidP="0095007A">
      <w:pPr>
        <w:pStyle w:val="ListParagraph"/>
        <w:numPr>
          <w:ilvl w:val="0"/>
          <w:numId w:val="12"/>
        </w:numPr>
        <w:spacing w:after="0"/>
        <w:rPr>
          <w:rFonts w:cstheme="minorHAnsi"/>
          <w:strike/>
        </w:rPr>
      </w:pPr>
      <w:r w:rsidRPr="005C22E8">
        <w:rPr>
          <w:rFonts w:cstheme="minorHAnsi"/>
          <w:strike/>
        </w:rPr>
        <w:t>Week 8 : Groups present written outline of presentation and explanation in class</w:t>
      </w:r>
      <w:r w:rsidR="00991F7F" w:rsidRPr="005C22E8">
        <w:rPr>
          <w:rFonts w:cstheme="minorHAnsi"/>
          <w:strike/>
        </w:rPr>
        <w:t xml:space="preserve"> (O</w:t>
      </w:r>
      <w:r w:rsidR="00991F7F" w:rsidRPr="005C22E8">
        <w:rPr>
          <w:rFonts w:cstheme="minorHAnsi"/>
          <w:strike/>
          <w:highlight w:val="yellow"/>
        </w:rPr>
        <w:t>ctober 15</w:t>
      </w:r>
      <w:r w:rsidR="00991F7F" w:rsidRPr="005C22E8">
        <w:rPr>
          <w:rFonts w:cstheme="minorHAnsi"/>
          <w:strike/>
          <w:highlight w:val="yellow"/>
          <w:vertAlign w:val="superscript"/>
        </w:rPr>
        <w:t>th</w:t>
      </w:r>
      <w:r w:rsidR="00991F7F" w:rsidRPr="005C22E8">
        <w:rPr>
          <w:rFonts w:cstheme="minorHAnsi"/>
          <w:strike/>
        </w:rPr>
        <w:t xml:space="preserve">) </w:t>
      </w:r>
    </w:p>
    <w:p w:rsidR="0095007A" w:rsidRPr="0069504E" w:rsidRDefault="0095007A" w:rsidP="000868D8">
      <w:pPr>
        <w:pStyle w:val="ListParagraph"/>
        <w:numPr>
          <w:ilvl w:val="0"/>
          <w:numId w:val="12"/>
        </w:numPr>
        <w:spacing w:after="0"/>
        <w:rPr>
          <w:rFonts w:cstheme="minorHAnsi"/>
        </w:rPr>
      </w:pPr>
      <w:r w:rsidRPr="0069504E">
        <w:rPr>
          <w:rFonts w:cstheme="minorHAnsi"/>
        </w:rPr>
        <w:t>Week</w:t>
      </w:r>
      <w:r w:rsidR="000868D8" w:rsidRPr="0069504E">
        <w:rPr>
          <w:rFonts w:cstheme="minorHAnsi"/>
        </w:rPr>
        <w:t>s13: Group</w:t>
      </w:r>
      <w:r w:rsidRPr="0069504E">
        <w:rPr>
          <w:rFonts w:cstheme="minorHAnsi"/>
        </w:rPr>
        <w:t xml:space="preserve"> Present</w:t>
      </w:r>
      <w:r w:rsidR="000868D8" w:rsidRPr="0069504E">
        <w:rPr>
          <w:rFonts w:cstheme="minorHAnsi"/>
        </w:rPr>
        <w:t>ations</w:t>
      </w:r>
      <w:r w:rsidR="00991F7F" w:rsidRPr="0069504E">
        <w:rPr>
          <w:rFonts w:cstheme="minorHAnsi"/>
        </w:rPr>
        <w:t xml:space="preserve"> (</w:t>
      </w:r>
      <w:r w:rsidR="00991F7F" w:rsidRPr="0069504E">
        <w:rPr>
          <w:rFonts w:cstheme="minorHAnsi"/>
          <w:highlight w:val="yellow"/>
        </w:rPr>
        <w:t>November19</w:t>
      </w:r>
      <w:r w:rsidR="00991F7F" w:rsidRPr="0069504E">
        <w:rPr>
          <w:rFonts w:cstheme="minorHAnsi"/>
          <w:highlight w:val="yellow"/>
          <w:vertAlign w:val="superscript"/>
        </w:rPr>
        <w:t>th</w:t>
      </w:r>
      <w:r w:rsidR="00991F7F" w:rsidRPr="0069504E">
        <w:rPr>
          <w:rFonts w:cstheme="minorHAnsi"/>
        </w:rPr>
        <w:t xml:space="preserve">) </w:t>
      </w:r>
    </w:p>
    <w:p w:rsidR="00367359" w:rsidRPr="0069504E" w:rsidRDefault="00367359" w:rsidP="00232A80">
      <w:pPr>
        <w:spacing w:after="0"/>
        <w:rPr>
          <w:rFonts w:cstheme="minorHAnsi"/>
          <w:i/>
          <w:iCs/>
        </w:rPr>
      </w:pPr>
    </w:p>
    <w:p w:rsidR="00367359" w:rsidRPr="0069504E" w:rsidRDefault="003E6424" w:rsidP="00367359">
      <w:pPr>
        <w:spacing w:after="0"/>
        <w:rPr>
          <w:rFonts w:cstheme="minorHAnsi"/>
        </w:rPr>
      </w:pPr>
      <w:r w:rsidRPr="0069504E">
        <w:rPr>
          <w:rFonts w:cstheme="minorHAnsi"/>
          <w:i/>
          <w:iCs/>
        </w:rPr>
        <w:t xml:space="preserve">Systematic Review – </w:t>
      </w:r>
      <w:r w:rsidRPr="0069504E">
        <w:rPr>
          <w:rFonts w:cstheme="minorHAnsi"/>
        </w:rPr>
        <w:t xml:space="preserve">Students are required to complete a systematic review on a topic of their choosing in global mental health. Each of the assignments below </w:t>
      </w:r>
      <w:r w:rsidR="008A6790" w:rsidRPr="0069504E">
        <w:rPr>
          <w:rFonts w:cstheme="minorHAnsi"/>
        </w:rPr>
        <w:t>is</w:t>
      </w:r>
      <w:r w:rsidRPr="0069504E">
        <w:rPr>
          <w:rFonts w:cstheme="minorHAnsi"/>
        </w:rPr>
        <w:t xml:space="preserve"> due at 11:59pm on the </w:t>
      </w:r>
      <w:r w:rsidR="00991F7F" w:rsidRPr="0069504E">
        <w:rPr>
          <w:rFonts w:cstheme="minorHAnsi"/>
          <w:highlight w:val="yellow"/>
        </w:rPr>
        <w:t>Tuesday before the class date</w:t>
      </w:r>
      <w:r w:rsidRPr="0069504E">
        <w:rPr>
          <w:rFonts w:cstheme="minorHAnsi"/>
        </w:rPr>
        <w:t xml:space="preserve">listed below. Final systematic reviews are due by </w:t>
      </w:r>
      <w:r w:rsidRPr="0069504E">
        <w:rPr>
          <w:rFonts w:cstheme="minorHAnsi"/>
          <w:b/>
          <w:bCs/>
        </w:rPr>
        <w:t xml:space="preserve">11:59pm on </w:t>
      </w:r>
      <w:r w:rsidR="00E577A8" w:rsidRPr="0069504E">
        <w:rPr>
          <w:rFonts w:cstheme="minorHAnsi"/>
          <w:b/>
          <w:bCs/>
        </w:rPr>
        <w:t>Wednesday</w:t>
      </w:r>
      <w:r w:rsidRPr="0069504E">
        <w:rPr>
          <w:rFonts w:cstheme="minorHAnsi"/>
          <w:b/>
          <w:bCs/>
        </w:rPr>
        <w:t xml:space="preserve">, </w:t>
      </w:r>
      <w:r w:rsidR="006019E5" w:rsidRPr="0069504E">
        <w:rPr>
          <w:rFonts w:cstheme="minorHAnsi"/>
          <w:b/>
          <w:bCs/>
        </w:rPr>
        <w:t>December</w:t>
      </w:r>
      <w:r w:rsidR="00E577A8" w:rsidRPr="0069504E">
        <w:rPr>
          <w:rFonts w:cstheme="minorHAnsi"/>
          <w:b/>
          <w:bCs/>
        </w:rPr>
        <w:t>2</w:t>
      </w:r>
      <w:r w:rsidRPr="0069504E">
        <w:rPr>
          <w:rFonts w:cstheme="minorHAnsi"/>
        </w:rPr>
        <w:t xml:space="preserve">. 33% points of points for any section will be deducted for each </w:t>
      </w:r>
      <w:r w:rsidR="008A6790" w:rsidRPr="0069504E">
        <w:rPr>
          <w:rFonts w:cstheme="minorHAnsi"/>
        </w:rPr>
        <w:t>24-hour</w:t>
      </w:r>
      <w:r w:rsidRPr="0069504E">
        <w:rPr>
          <w:rFonts w:cstheme="minorHAnsi"/>
        </w:rPr>
        <w:t xml:space="preserve"> period after the deadline has passed for any component.  </w:t>
      </w:r>
    </w:p>
    <w:p w:rsidR="003E6424" w:rsidRPr="005C22E8" w:rsidRDefault="003E6424" w:rsidP="00367359">
      <w:pPr>
        <w:pStyle w:val="ListParagraph"/>
        <w:numPr>
          <w:ilvl w:val="0"/>
          <w:numId w:val="12"/>
        </w:numPr>
        <w:spacing w:after="0"/>
        <w:ind w:left="720"/>
        <w:rPr>
          <w:rFonts w:cstheme="minorHAnsi"/>
          <w:strike/>
        </w:rPr>
      </w:pPr>
      <w:r w:rsidRPr="005C22E8">
        <w:rPr>
          <w:rFonts w:cstheme="minorHAnsi"/>
          <w:strike/>
        </w:rPr>
        <w:t xml:space="preserve">Week </w:t>
      </w:r>
      <w:r w:rsidR="00991F7F" w:rsidRPr="005C22E8">
        <w:rPr>
          <w:rFonts w:cstheme="minorHAnsi"/>
          <w:strike/>
        </w:rPr>
        <w:t>6</w:t>
      </w:r>
      <w:r w:rsidRPr="005C22E8">
        <w:rPr>
          <w:rFonts w:cstheme="minorHAnsi"/>
          <w:strike/>
        </w:rPr>
        <w:t xml:space="preserve"> : Question</w:t>
      </w:r>
      <w:r w:rsidR="00991F7F" w:rsidRPr="005C22E8">
        <w:rPr>
          <w:rFonts w:cstheme="minorHAnsi"/>
          <w:strike/>
        </w:rPr>
        <w:t xml:space="preserve">, </w:t>
      </w:r>
      <w:r w:rsidRPr="005C22E8">
        <w:rPr>
          <w:rFonts w:cstheme="minorHAnsi"/>
          <w:strike/>
        </w:rPr>
        <w:t>Search Terms</w:t>
      </w:r>
      <w:r w:rsidR="00991F7F" w:rsidRPr="005C22E8">
        <w:rPr>
          <w:rFonts w:cstheme="minorHAnsi"/>
          <w:strike/>
        </w:rPr>
        <w:t>, and Systematic Review resources</w:t>
      </w:r>
      <w:r w:rsidRPr="005C22E8">
        <w:rPr>
          <w:rFonts w:cstheme="minorHAnsi"/>
          <w:strike/>
        </w:rPr>
        <w:t xml:space="preserve"> (5 points)</w:t>
      </w:r>
      <w:r w:rsidR="00991F7F" w:rsidRPr="005C22E8">
        <w:rPr>
          <w:rFonts w:cstheme="minorHAnsi"/>
          <w:strike/>
        </w:rPr>
        <w:t xml:space="preserve"> [</w:t>
      </w:r>
      <w:r w:rsidR="00991F7F" w:rsidRPr="005C22E8">
        <w:rPr>
          <w:rFonts w:cstheme="minorHAnsi"/>
          <w:strike/>
          <w:highlight w:val="yellow"/>
        </w:rPr>
        <w:t>Email by midnight on Tuesday, September 29th</w:t>
      </w:r>
      <w:r w:rsidR="00991F7F" w:rsidRPr="005C22E8">
        <w:rPr>
          <w:rFonts w:cstheme="minorHAnsi"/>
          <w:strike/>
        </w:rPr>
        <w:t>]</w:t>
      </w:r>
    </w:p>
    <w:p w:rsidR="003E6424" w:rsidRPr="005C22E8" w:rsidRDefault="003E6424" w:rsidP="003E6424">
      <w:pPr>
        <w:pStyle w:val="ListParagraph"/>
        <w:numPr>
          <w:ilvl w:val="0"/>
          <w:numId w:val="13"/>
        </w:numPr>
        <w:spacing w:after="0"/>
        <w:rPr>
          <w:rFonts w:cstheme="minorHAnsi"/>
          <w:strike/>
        </w:rPr>
      </w:pPr>
      <w:r w:rsidRPr="005C22E8">
        <w:rPr>
          <w:rFonts w:cstheme="minorHAnsi"/>
          <w:strike/>
        </w:rPr>
        <w:t xml:space="preserve">Week </w:t>
      </w:r>
      <w:r w:rsidR="00991F7F" w:rsidRPr="005C22E8">
        <w:rPr>
          <w:rFonts w:cstheme="minorHAnsi"/>
          <w:strike/>
        </w:rPr>
        <w:t>8</w:t>
      </w:r>
      <w:r w:rsidRPr="005C22E8">
        <w:rPr>
          <w:rFonts w:cstheme="minorHAnsi"/>
          <w:strike/>
        </w:rPr>
        <w:t xml:space="preserve"> : Inclusion and Exclusion Criteria and Table (5 points)</w:t>
      </w:r>
      <w:r w:rsidR="00991F7F" w:rsidRPr="005C22E8">
        <w:rPr>
          <w:rFonts w:cstheme="minorHAnsi"/>
          <w:strike/>
        </w:rPr>
        <w:t xml:space="preserve"> [E</w:t>
      </w:r>
      <w:r w:rsidR="00991F7F" w:rsidRPr="005C22E8">
        <w:rPr>
          <w:rFonts w:cstheme="minorHAnsi"/>
          <w:strike/>
          <w:highlight w:val="yellow"/>
        </w:rPr>
        <w:t>mail by midnight on Tuesday, October 13th]</w:t>
      </w:r>
    </w:p>
    <w:p w:rsidR="00991F7F" w:rsidRPr="0069504E" w:rsidRDefault="003E6424" w:rsidP="003E6424">
      <w:pPr>
        <w:pStyle w:val="ListParagraph"/>
        <w:numPr>
          <w:ilvl w:val="0"/>
          <w:numId w:val="13"/>
        </w:numPr>
        <w:spacing w:after="0"/>
        <w:rPr>
          <w:rFonts w:cstheme="minorHAnsi"/>
        </w:rPr>
      </w:pPr>
      <w:r w:rsidRPr="0069504E">
        <w:rPr>
          <w:rFonts w:cstheme="minorHAnsi"/>
        </w:rPr>
        <w:t xml:space="preserve">Week </w:t>
      </w:r>
      <w:r w:rsidR="00991F7F" w:rsidRPr="0069504E">
        <w:rPr>
          <w:rFonts w:cstheme="minorHAnsi"/>
        </w:rPr>
        <w:t>10</w:t>
      </w:r>
      <w:r w:rsidRPr="0069504E">
        <w:rPr>
          <w:rFonts w:cstheme="minorHAnsi"/>
        </w:rPr>
        <w:t xml:space="preserve"> : Table of Articles and Key findings (5 points)</w:t>
      </w:r>
      <w:r w:rsidR="00991F7F" w:rsidRPr="0069504E">
        <w:rPr>
          <w:rFonts w:cstheme="minorHAnsi"/>
        </w:rPr>
        <w:t xml:space="preserve"> [</w:t>
      </w:r>
      <w:r w:rsidR="00991F7F" w:rsidRPr="0069504E">
        <w:rPr>
          <w:rFonts w:cstheme="minorHAnsi"/>
          <w:highlight w:val="yellow"/>
        </w:rPr>
        <w:t>Email by midnight on Tuesday, October 27th</w:t>
      </w:r>
      <w:r w:rsidR="00991F7F" w:rsidRPr="0069504E">
        <w:rPr>
          <w:rFonts w:cstheme="minorHAnsi"/>
        </w:rPr>
        <w:t>]</w:t>
      </w:r>
    </w:p>
    <w:p w:rsidR="003E6424" w:rsidRPr="0069504E" w:rsidRDefault="00991F7F" w:rsidP="003E6424">
      <w:pPr>
        <w:pStyle w:val="ListParagraph"/>
        <w:numPr>
          <w:ilvl w:val="0"/>
          <w:numId w:val="13"/>
        </w:numPr>
        <w:spacing w:after="0"/>
        <w:rPr>
          <w:rFonts w:cstheme="minorHAnsi"/>
          <w:highlight w:val="yellow"/>
        </w:rPr>
      </w:pPr>
      <w:r w:rsidRPr="0069504E">
        <w:rPr>
          <w:rFonts w:cstheme="minorHAnsi"/>
          <w:highlight w:val="yellow"/>
        </w:rPr>
        <w:t>Wednesday, December 2</w:t>
      </w:r>
      <w:r w:rsidRPr="0069504E">
        <w:rPr>
          <w:rFonts w:cstheme="minorHAnsi"/>
          <w:highlight w:val="yellow"/>
          <w:vertAlign w:val="superscript"/>
        </w:rPr>
        <w:t>nd</w:t>
      </w:r>
      <w:r w:rsidRPr="0069504E">
        <w:rPr>
          <w:rFonts w:cstheme="minorHAnsi"/>
          <w:highlight w:val="yellow"/>
        </w:rPr>
        <w:t xml:space="preserve"> – Final Paper due (15 points) </w:t>
      </w:r>
    </w:p>
    <w:p w:rsidR="00232A80" w:rsidRPr="0069504E" w:rsidRDefault="00232A80" w:rsidP="0029464D">
      <w:pPr>
        <w:spacing w:after="0"/>
        <w:jc w:val="center"/>
        <w:rPr>
          <w:rFonts w:cstheme="minorHAnsi"/>
        </w:rPr>
      </w:pPr>
    </w:p>
    <w:p w:rsidR="001F76E0" w:rsidRPr="0069504E" w:rsidRDefault="00CB6568" w:rsidP="00A11F05">
      <w:pPr>
        <w:spacing w:after="0" w:line="240" w:lineRule="auto"/>
        <w:rPr>
          <w:u w:val="single"/>
        </w:rPr>
      </w:pPr>
      <w:r w:rsidRPr="0069504E">
        <w:rPr>
          <w:u w:val="single"/>
        </w:rPr>
        <w:t>WEEKLY SCHEDULE &amp; READINGS</w:t>
      </w:r>
    </w:p>
    <w:p w:rsidR="001F76E0" w:rsidRPr="0069504E" w:rsidRDefault="001F76E0" w:rsidP="00A11F05">
      <w:pPr>
        <w:spacing w:after="0" w:line="240" w:lineRule="auto"/>
      </w:pPr>
    </w:p>
    <w:p w:rsidR="00A11F05" w:rsidRPr="0069504E" w:rsidRDefault="00287DF9" w:rsidP="00A11F05">
      <w:pPr>
        <w:spacing w:after="0" w:line="240" w:lineRule="auto"/>
      </w:pPr>
      <w:r w:rsidRPr="0069504E">
        <w:t>Week 1 – August 2</w:t>
      </w:r>
      <w:r w:rsidR="00151144" w:rsidRPr="0069504E">
        <w:t>7</w:t>
      </w:r>
    </w:p>
    <w:p w:rsidR="00A11F05" w:rsidRPr="0069504E" w:rsidRDefault="00A11F05" w:rsidP="00A11F05">
      <w:pPr>
        <w:spacing w:after="0" w:line="240" w:lineRule="auto"/>
      </w:pPr>
      <w:r w:rsidRPr="0069504E">
        <w:t>INTRODUCTION &amp; SEMINAR OVERVIEW</w:t>
      </w:r>
    </w:p>
    <w:p w:rsidR="00A11F05" w:rsidRPr="0069504E" w:rsidRDefault="003E6424" w:rsidP="0029464D">
      <w:pPr>
        <w:tabs>
          <w:tab w:val="left" w:pos="1534"/>
        </w:tabs>
        <w:spacing w:after="0" w:line="240" w:lineRule="auto"/>
      </w:pPr>
      <w:r w:rsidRPr="0069504E">
        <w:t>No readings.</w:t>
      </w:r>
      <w:r w:rsidR="0029464D" w:rsidRPr="0069504E">
        <w:tab/>
      </w:r>
    </w:p>
    <w:p w:rsidR="003E6424" w:rsidRPr="0069504E" w:rsidRDefault="003E6424" w:rsidP="00A11F05">
      <w:pPr>
        <w:spacing w:after="0" w:line="240" w:lineRule="auto"/>
      </w:pPr>
      <w:r w:rsidRPr="0069504E">
        <w:t xml:space="preserve">Watch </w:t>
      </w:r>
      <w:r w:rsidR="002F010A" w:rsidRPr="0069504E">
        <w:t xml:space="preserve">Vikram Patel TED Talk: </w:t>
      </w:r>
      <w:hyperlink r:id="rId8" w:history="1">
        <w:r w:rsidR="002F010A" w:rsidRPr="0069504E">
          <w:rPr>
            <w:rStyle w:val="Hyperlink"/>
          </w:rPr>
          <w:t>http://www.ted.com/speakers/vikram_patel.html</w:t>
        </w:r>
      </w:hyperlink>
    </w:p>
    <w:p w:rsidR="00506330" w:rsidRPr="0069504E" w:rsidRDefault="00506330" w:rsidP="00A11F05">
      <w:pPr>
        <w:spacing w:after="0" w:line="240" w:lineRule="auto"/>
      </w:pPr>
    </w:p>
    <w:p w:rsidR="00A11F05" w:rsidRPr="0069504E" w:rsidRDefault="007B2E66" w:rsidP="00A11F05">
      <w:pPr>
        <w:spacing w:after="0" w:line="240" w:lineRule="auto"/>
      </w:pPr>
      <w:r w:rsidRPr="0069504E">
        <w:t xml:space="preserve">Week 2 – September </w:t>
      </w:r>
      <w:r w:rsidR="00151144" w:rsidRPr="0069504E">
        <w:t>3</w:t>
      </w:r>
    </w:p>
    <w:p w:rsidR="00A11F05" w:rsidRPr="0069504E" w:rsidRDefault="00A11F05" w:rsidP="00A11F05">
      <w:pPr>
        <w:spacing w:after="0" w:line="240" w:lineRule="auto"/>
      </w:pPr>
      <w:r w:rsidRPr="0069504E">
        <w:t>STATE OF THE FIELD</w:t>
      </w:r>
      <w:r w:rsidR="00F55319" w:rsidRPr="0069504E">
        <w:t xml:space="preserve">: GLOBAL BURDEN OF DISEASE, mhGAP, &amp; TASK-SHARING </w:t>
      </w:r>
    </w:p>
    <w:p w:rsidR="00A11F05" w:rsidRPr="0069504E" w:rsidRDefault="00F55319" w:rsidP="00A11F05">
      <w:pPr>
        <w:spacing w:after="0" w:line="240" w:lineRule="auto"/>
      </w:pPr>
      <w:r w:rsidRPr="0069504E">
        <w:t xml:space="preserve">Readings: </w:t>
      </w:r>
    </w:p>
    <w:p w:rsidR="00903563" w:rsidRPr="0069504E" w:rsidRDefault="00903563" w:rsidP="00903563">
      <w:pPr>
        <w:pStyle w:val="ListParagraph"/>
        <w:numPr>
          <w:ilvl w:val="0"/>
          <w:numId w:val="9"/>
        </w:numPr>
        <w:autoSpaceDE w:val="0"/>
        <w:autoSpaceDN w:val="0"/>
        <w:adjustRightInd w:val="0"/>
        <w:spacing w:after="0" w:line="240" w:lineRule="auto"/>
        <w:rPr>
          <w:rFonts w:cs="Segoe UI"/>
          <w:lang w:bidi="ne-NP"/>
        </w:rPr>
      </w:pPr>
      <w:r w:rsidRPr="0069504E">
        <w:rPr>
          <w:rFonts w:cs="Segoe UI"/>
          <w:lang w:bidi="ne-NP"/>
        </w:rPr>
        <w:t xml:space="preserve">Becker, A.E., &amp;Kleinman, A. (2013) Mental Health and the Global Agenda. </w:t>
      </w:r>
      <w:r w:rsidRPr="0069504E">
        <w:rPr>
          <w:rFonts w:cs="Segoe UI"/>
          <w:i/>
          <w:iCs/>
          <w:lang w:bidi="ne-NP"/>
        </w:rPr>
        <w:t xml:space="preserve">New England Journal of Medicine, </w:t>
      </w:r>
      <w:r w:rsidRPr="0069504E">
        <w:rPr>
          <w:rFonts w:cs="Segoe UI"/>
          <w:lang w:bidi="ne-NP"/>
        </w:rPr>
        <w:t>369(1), pp. 66-73.</w:t>
      </w:r>
    </w:p>
    <w:p w:rsidR="002A76D9" w:rsidRPr="0069504E" w:rsidRDefault="002A76D9" w:rsidP="002A76D9">
      <w:pPr>
        <w:pStyle w:val="ListParagraph"/>
        <w:numPr>
          <w:ilvl w:val="0"/>
          <w:numId w:val="9"/>
        </w:numPr>
        <w:autoSpaceDE w:val="0"/>
        <w:autoSpaceDN w:val="0"/>
        <w:adjustRightInd w:val="0"/>
        <w:spacing w:after="0" w:line="240" w:lineRule="auto"/>
        <w:rPr>
          <w:rFonts w:cs="Segoe UI"/>
          <w:lang w:bidi="ne-NP"/>
        </w:rPr>
      </w:pPr>
      <w:r w:rsidRPr="0069504E">
        <w:rPr>
          <w:rFonts w:cs="Segoe UI"/>
          <w:lang w:bidi="ne-NP"/>
        </w:rPr>
        <w:t xml:space="preserve">Patel et al </w:t>
      </w:r>
      <w:r w:rsidRPr="0069504E">
        <w:rPr>
          <w:rFonts w:cs="Segoe UI"/>
          <w:i/>
          <w:iCs/>
          <w:lang w:bidi="ne-NP"/>
        </w:rPr>
        <w:t xml:space="preserve">Global Mental Health </w:t>
      </w:r>
      <w:r w:rsidRPr="0069504E">
        <w:rPr>
          <w:rFonts w:cs="Segoe UI"/>
          <w:lang w:bidi="ne-NP"/>
        </w:rPr>
        <w:t>Chapter 1 – “A brief history of global mental health”</w:t>
      </w:r>
    </w:p>
    <w:p w:rsidR="002A76D9" w:rsidRPr="0069504E" w:rsidRDefault="002A76D9" w:rsidP="002A76D9">
      <w:pPr>
        <w:pStyle w:val="ListParagraph"/>
        <w:numPr>
          <w:ilvl w:val="0"/>
          <w:numId w:val="9"/>
        </w:numPr>
        <w:autoSpaceDE w:val="0"/>
        <w:autoSpaceDN w:val="0"/>
        <w:adjustRightInd w:val="0"/>
        <w:spacing w:after="0" w:line="240" w:lineRule="auto"/>
        <w:rPr>
          <w:rFonts w:cs="Segoe UI"/>
          <w:lang w:bidi="ne-NP"/>
        </w:rPr>
      </w:pPr>
      <w:r w:rsidRPr="0069504E">
        <w:rPr>
          <w:rFonts w:cs="Segoe UI"/>
          <w:lang w:bidi="ne-NP"/>
        </w:rPr>
        <w:t xml:space="preserve">Patel et al </w:t>
      </w:r>
      <w:r w:rsidRPr="0069504E">
        <w:rPr>
          <w:rFonts w:cs="Segoe UI"/>
          <w:i/>
          <w:iCs/>
          <w:lang w:bidi="ne-NP"/>
        </w:rPr>
        <w:t xml:space="preserve">Global Mental Health </w:t>
      </w:r>
      <w:r w:rsidRPr="0069504E">
        <w:rPr>
          <w:rFonts w:cs="Segoe UI"/>
          <w:lang w:bidi="ne-NP"/>
        </w:rPr>
        <w:t>Chapter 10 – “Strategies for strengthening human resources for mental health”</w:t>
      </w:r>
    </w:p>
    <w:p w:rsidR="00903563" w:rsidRPr="0069504E" w:rsidRDefault="00903563" w:rsidP="00903563">
      <w:pPr>
        <w:pStyle w:val="ListParagraph"/>
        <w:numPr>
          <w:ilvl w:val="0"/>
          <w:numId w:val="9"/>
        </w:numPr>
        <w:autoSpaceDE w:val="0"/>
        <w:autoSpaceDN w:val="0"/>
        <w:adjustRightInd w:val="0"/>
        <w:spacing w:after="0" w:line="240" w:lineRule="auto"/>
        <w:rPr>
          <w:rFonts w:cs="Segoe UI"/>
          <w:lang w:bidi="ne-NP"/>
        </w:rPr>
      </w:pPr>
      <w:r w:rsidRPr="0069504E">
        <w:rPr>
          <w:rFonts w:cs="Segoe UI"/>
          <w:lang w:bidi="ne-NP"/>
        </w:rPr>
        <w:t xml:space="preserve">Kohrt &amp; Mendenhall </w:t>
      </w:r>
      <w:r w:rsidRPr="0069504E">
        <w:rPr>
          <w:rFonts w:cs="Segoe UI"/>
          <w:i/>
          <w:iCs/>
          <w:lang w:bidi="ne-NP"/>
        </w:rPr>
        <w:t xml:space="preserve">Global Mental Health: Anthropological Perspectives </w:t>
      </w:r>
      <w:r w:rsidRPr="0069504E">
        <w:rPr>
          <w:rFonts w:cs="Segoe UI"/>
          <w:lang w:bidi="ne-NP"/>
        </w:rPr>
        <w:t>Chapter 17 – “Task-shifting in global health”</w:t>
      </w:r>
    </w:p>
    <w:p w:rsidR="00903563" w:rsidRPr="0069504E" w:rsidRDefault="00903563" w:rsidP="00903563">
      <w:pPr>
        <w:pStyle w:val="ListParagraph"/>
        <w:numPr>
          <w:ilvl w:val="0"/>
          <w:numId w:val="9"/>
        </w:numPr>
        <w:autoSpaceDE w:val="0"/>
        <w:autoSpaceDN w:val="0"/>
        <w:adjustRightInd w:val="0"/>
        <w:spacing w:after="0" w:line="240" w:lineRule="auto"/>
        <w:rPr>
          <w:rFonts w:cs="Segoe UI"/>
          <w:lang w:bidi="ne-NP"/>
        </w:rPr>
      </w:pPr>
      <w:r w:rsidRPr="0069504E">
        <w:rPr>
          <w:rFonts w:cs="Segoe UI"/>
          <w:lang w:bidi="ne-NP"/>
        </w:rPr>
        <w:t xml:space="preserve">Kohrt &amp; Mendenhall </w:t>
      </w:r>
      <w:r w:rsidRPr="0069504E">
        <w:rPr>
          <w:rFonts w:cs="Segoe UI"/>
          <w:i/>
          <w:iCs/>
          <w:lang w:bidi="ne-NP"/>
        </w:rPr>
        <w:t xml:space="preserve">Global Mental Health: Anthropological Perspectives </w:t>
      </w:r>
      <w:r w:rsidRPr="0069504E">
        <w:rPr>
          <w:rFonts w:cs="Segoe UI"/>
          <w:lang w:bidi="ne-NP"/>
        </w:rPr>
        <w:t>Chapter 18 – “We can’t find this spirit of help”</w:t>
      </w:r>
    </w:p>
    <w:p w:rsidR="003519B5" w:rsidRPr="0069504E" w:rsidRDefault="002F010A" w:rsidP="00CD5B87">
      <w:pPr>
        <w:pStyle w:val="ListParagraph"/>
        <w:numPr>
          <w:ilvl w:val="0"/>
          <w:numId w:val="3"/>
        </w:numPr>
        <w:spacing w:after="0" w:line="240" w:lineRule="auto"/>
      </w:pPr>
      <w:r w:rsidRPr="0069504E">
        <w:t>Mental Health GAP Action Programme</w:t>
      </w:r>
      <w:hyperlink r:id="rId9" w:history="1">
        <w:r w:rsidRPr="0069504E">
          <w:rPr>
            <w:rStyle w:val="Hyperlink"/>
          </w:rPr>
          <w:t>http://www.who.int/mental_health/mhgap/en/</w:t>
        </w:r>
      </w:hyperlink>
    </w:p>
    <w:p w:rsidR="00506330" w:rsidRPr="0069504E" w:rsidRDefault="00506330" w:rsidP="00A11F05">
      <w:pPr>
        <w:spacing w:after="0" w:line="240" w:lineRule="auto"/>
      </w:pPr>
    </w:p>
    <w:p w:rsidR="00A11F05" w:rsidRPr="0069504E" w:rsidRDefault="007B2E66" w:rsidP="00A11F05">
      <w:pPr>
        <w:spacing w:after="0" w:line="240" w:lineRule="auto"/>
      </w:pPr>
      <w:r w:rsidRPr="0069504E">
        <w:t>Week 3 – September 1</w:t>
      </w:r>
      <w:r w:rsidR="00151144" w:rsidRPr="0069504E">
        <w:t>0</w:t>
      </w:r>
    </w:p>
    <w:p w:rsidR="00F55319" w:rsidRPr="0069504E" w:rsidRDefault="00506330" w:rsidP="00F55319">
      <w:pPr>
        <w:spacing w:after="0" w:line="240" w:lineRule="auto"/>
      </w:pPr>
      <w:r w:rsidRPr="0069504E">
        <w:t>ANTHROPOLOGICAL CONCEPTS AND GLOBAL MENTAL HEALTH</w:t>
      </w:r>
    </w:p>
    <w:p w:rsidR="00A11F05" w:rsidRPr="0069504E" w:rsidRDefault="00F55319" w:rsidP="0029464D">
      <w:pPr>
        <w:tabs>
          <w:tab w:val="left" w:pos="3881"/>
        </w:tabs>
        <w:spacing w:after="0" w:line="240" w:lineRule="auto"/>
      </w:pPr>
      <w:r w:rsidRPr="0069504E">
        <w:t xml:space="preserve">Readings: </w:t>
      </w:r>
      <w:r w:rsidR="0029464D" w:rsidRPr="0069504E">
        <w:tab/>
      </w:r>
    </w:p>
    <w:p w:rsidR="002A76D9" w:rsidRPr="0069504E" w:rsidRDefault="002A76D9" w:rsidP="002A76D9">
      <w:pPr>
        <w:pStyle w:val="ListParagraph"/>
        <w:numPr>
          <w:ilvl w:val="0"/>
          <w:numId w:val="3"/>
        </w:numPr>
        <w:autoSpaceDE w:val="0"/>
        <w:autoSpaceDN w:val="0"/>
        <w:adjustRightInd w:val="0"/>
        <w:spacing w:after="0" w:line="240" w:lineRule="auto"/>
        <w:rPr>
          <w:rFonts w:cs="Segoe UI"/>
          <w:lang w:bidi="ne-NP"/>
        </w:rPr>
      </w:pPr>
      <w:r w:rsidRPr="0069504E">
        <w:rPr>
          <w:rFonts w:cs="Segoe UI"/>
          <w:lang w:bidi="ne-NP"/>
        </w:rPr>
        <w:t xml:space="preserve">Patel et al </w:t>
      </w:r>
      <w:r w:rsidRPr="0069504E">
        <w:rPr>
          <w:rFonts w:cs="Segoe UI"/>
          <w:i/>
          <w:iCs/>
          <w:lang w:bidi="ne-NP"/>
        </w:rPr>
        <w:t xml:space="preserve">Global Mental Health </w:t>
      </w:r>
      <w:r w:rsidRPr="0069504E">
        <w:rPr>
          <w:rFonts w:cs="Segoe UI"/>
          <w:lang w:bidi="ne-NP"/>
        </w:rPr>
        <w:t xml:space="preserve">Chapter </w:t>
      </w:r>
      <w:r w:rsidR="00DA0B73" w:rsidRPr="0069504E">
        <w:rPr>
          <w:rFonts w:cs="Segoe UI"/>
          <w:lang w:bidi="ne-NP"/>
        </w:rPr>
        <w:t>3</w:t>
      </w:r>
      <w:r w:rsidRPr="0069504E">
        <w:rPr>
          <w:rFonts w:cs="Segoe UI"/>
          <w:lang w:bidi="ne-NP"/>
        </w:rPr>
        <w:t xml:space="preserve"> – “Culture and global mental health”</w:t>
      </w:r>
    </w:p>
    <w:p w:rsidR="002A76D9" w:rsidRPr="0069504E" w:rsidRDefault="002A76D9" w:rsidP="002A76D9">
      <w:pPr>
        <w:pStyle w:val="ListParagraph"/>
        <w:numPr>
          <w:ilvl w:val="0"/>
          <w:numId w:val="3"/>
        </w:numPr>
        <w:autoSpaceDE w:val="0"/>
        <w:autoSpaceDN w:val="0"/>
        <w:adjustRightInd w:val="0"/>
        <w:spacing w:after="0" w:line="240" w:lineRule="auto"/>
        <w:rPr>
          <w:rFonts w:cs="Segoe UI"/>
          <w:lang w:bidi="ne-NP"/>
        </w:rPr>
      </w:pPr>
      <w:r w:rsidRPr="0069504E">
        <w:rPr>
          <w:rFonts w:cs="Segoe UI"/>
          <w:lang w:bidi="ne-NP"/>
        </w:rPr>
        <w:t xml:space="preserve">Kohrt &amp; Mendenhall </w:t>
      </w:r>
      <w:r w:rsidR="005E7702" w:rsidRPr="0069504E">
        <w:rPr>
          <w:rFonts w:cs="Segoe UI"/>
          <w:i/>
          <w:iCs/>
          <w:lang w:bidi="ne-NP"/>
        </w:rPr>
        <w:t xml:space="preserve">Global Mental Health: Anthropological Perspectives </w:t>
      </w:r>
      <w:r w:rsidR="005E7702" w:rsidRPr="0069504E">
        <w:rPr>
          <w:rFonts w:cs="Segoe UI"/>
          <w:lang w:bidi="ne-NP"/>
        </w:rPr>
        <w:t>Chapter 1 – “Historical background”</w:t>
      </w:r>
    </w:p>
    <w:p w:rsidR="00903563" w:rsidRPr="0069504E" w:rsidRDefault="00903563" w:rsidP="00903563">
      <w:pPr>
        <w:pStyle w:val="ListParagraph"/>
        <w:numPr>
          <w:ilvl w:val="0"/>
          <w:numId w:val="3"/>
        </w:numPr>
        <w:autoSpaceDE w:val="0"/>
        <w:autoSpaceDN w:val="0"/>
        <w:adjustRightInd w:val="0"/>
        <w:spacing w:after="0" w:line="240" w:lineRule="auto"/>
        <w:rPr>
          <w:rFonts w:cs="Segoe UI"/>
          <w:lang w:bidi="ne-NP"/>
        </w:rPr>
      </w:pPr>
      <w:r w:rsidRPr="0069504E">
        <w:rPr>
          <w:rFonts w:cs="Segoe UI"/>
          <w:lang w:bidi="ne-NP"/>
        </w:rPr>
        <w:t xml:space="preserve">Kohrt &amp; Mendenhall </w:t>
      </w:r>
      <w:r w:rsidRPr="0069504E">
        <w:rPr>
          <w:rFonts w:cs="Segoe UI"/>
          <w:i/>
          <w:iCs/>
          <w:lang w:bidi="ne-NP"/>
        </w:rPr>
        <w:t xml:space="preserve">Global Mental Health: Anthropological Perspectives </w:t>
      </w:r>
      <w:r w:rsidRPr="0069504E">
        <w:rPr>
          <w:rFonts w:cs="Segoe UI"/>
          <w:lang w:bidi="ne-NP"/>
        </w:rPr>
        <w:t>Chapter 2 – “Anthropological methods”</w:t>
      </w:r>
    </w:p>
    <w:p w:rsidR="00903563" w:rsidRPr="0069504E" w:rsidRDefault="00903563" w:rsidP="00903563">
      <w:pPr>
        <w:pStyle w:val="ListParagraph"/>
        <w:numPr>
          <w:ilvl w:val="0"/>
          <w:numId w:val="3"/>
        </w:numPr>
        <w:autoSpaceDE w:val="0"/>
        <w:autoSpaceDN w:val="0"/>
        <w:adjustRightInd w:val="0"/>
        <w:spacing w:after="0" w:line="240" w:lineRule="auto"/>
        <w:rPr>
          <w:rFonts w:cs="Segoe UI"/>
          <w:lang w:bidi="ne-NP"/>
        </w:rPr>
      </w:pPr>
      <w:r w:rsidRPr="0069504E">
        <w:rPr>
          <w:rFonts w:cs="Segoe UI"/>
          <w:lang w:bidi="ne-NP"/>
        </w:rPr>
        <w:t xml:space="preserve">Kohrt &amp; Mendenhall </w:t>
      </w:r>
      <w:r w:rsidRPr="0069504E">
        <w:rPr>
          <w:rFonts w:cs="Segoe UI"/>
          <w:i/>
          <w:iCs/>
          <w:lang w:bidi="ne-NP"/>
        </w:rPr>
        <w:t xml:space="preserve">Global Mental Health: Anthropological Perspectives </w:t>
      </w:r>
      <w:r w:rsidRPr="0069504E">
        <w:rPr>
          <w:rFonts w:cs="Segoe UI"/>
          <w:lang w:bidi="ne-NP"/>
        </w:rPr>
        <w:t>Chapter 12 – “The cost of health care”</w:t>
      </w:r>
    </w:p>
    <w:p w:rsidR="00903563" w:rsidRPr="0069504E" w:rsidRDefault="004B0E14" w:rsidP="00903563">
      <w:pPr>
        <w:pStyle w:val="ListParagraph"/>
        <w:numPr>
          <w:ilvl w:val="0"/>
          <w:numId w:val="3"/>
        </w:numPr>
        <w:autoSpaceDE w:val="0"/>
        <w:autoSpaceDN w:val="0"/>
        <w:adjustRightInd w:val="0"/>
        <w:spacing w:after="0" w:line="240" w:lineRule="auto"/>
        <w:rPr>
          <w:rFonts w:cs="Segoe UI"/>
          <w:lang w:bidi="ne-NP"/>
        </w:rPr>
      </w:pPr>
      <w:r w:rsidRPr="0069504E">
        <w:rPr>
          <w:rFonts w:cs="Segoe UI"/>
          <w:lang w:bidi="ne-NP"/>
        </w:rPr>
        <w:t xml:space="preserve">Kirmayer, L.J. (2006) Beyond the New Cross-cultural Psychiatry: Cultural Biology, Discursive Psychology and the Ironies of Globalization. </w:t>
      </w:r>
      <w:r w:rsidRPr="0069504E">
        <w:rPr>
          <w:rFonts w:cs="Segoe UI"/>
          <w:i/>
          <w:iCs/>
          <w:lang w:bidi="ne-NP"/>
        </w:rPr>
        <w:t xml:space="preserve">Transcultural Psychiatry Vol 43(1) Mar 2006, </w:t>
      </w:r>
      <w:r w:rsidR="007C0497" w:rsidRPr="0069504E">
        <w:rPr>
          <w:rFonts w:cs="Segoe UI"/>
          <w:lang w:bidi="ne-NP"/>
        </w:rPr>
        <w:t xml:space="preserve">pp. </w:t>
      </w:r>
      <w:r w:rsidRPr="0069504E">
        <w:rPr>
          <w:rFonts w:cs="Segoe UI"/>
          <w:i/>
          <w:iCs/>
          <w:lang w:bidi="ne-NP"/>
        </w:rPr>
        <w:t>126-144</w:t>
      </w:r>
      <w:r w:rsidR="007C0497" w:rsidRPr="0069504E">
        <w:rPr>
          <w:rFonts w:cs="Segoe UI"/>
          <w:lang w:bidi="ne-NP"/>
        </w:rPr>
        <w:t>.</w:t>
      </w:r>
    </w:p>
    <w:p w:rsidR="00E577A8" w:rsidRPr="0069504E" w:rsidRDefault="00E577A8" w:rsidP="00A11F05">
      <w:pPr>
        <w:spacing w:after="0" w:line="240" w:lineRule="auto"/>
      </w:pPr>
    </w:p>
    <w:p w:rsidR="00E121BB" w:rsidRPr="0069504E" w:rsidRDefault="00E121BB" w:rsidP="00E121BB">
      <w:pPr>
        <w:spacing w:after="0" w:line="240" w:lineRule="auto"/>
      </w:pPr>
      <w:r w:rsidRPr="0069504E">
        <w:t>Week 4 – September 1</w:t>
      </w:r>
      <w:r w:rsidR="00151144" w:rsidRPr="0069504E">
        <w:t>7</w:t>
      </w:r>
    </w:p>
    <w:p w:rsidR="00506330" w:rsidRPr="0069504E" w:rsidRDefault="002A76D9" w:rsidP="00506330">
      <w:pPr>
        <w:spacing w:after="0" w:line="240" w:lineRule="auto"/>
      </w:pPr>
      <w:r w:rsidRPr="0069504E">
        <w:t>BIRTH OF A DISORDER: SOCIAL C</w:t>
      </w:r>
      <w:r w:rsidR="00E63AD5" w:rsidRPr="0069504E">
        <w:t>ONSTRUCTION OF PSYCHIATRIC CATE</w:t>
      </w:r>
      <w:r w:rsidRPr="0069504E">
        <w:t>GORIES</w:t>
      </w:r>
    </w:p>
    <w:p w:rsidR="002A76D9" w:rsidRPr="0069504E" w:rsidRDefault="002A76D9" w:rsidP="002A76D9">
      <w:pPr>
        <w:pStyle w:val="ListParagraph"/>
        <w:numPr>
          <w:ilvl w:val="0"/>
          <w:numId w:val="18"/>
        </w:numPr>
        <w:autoSpaceDE w:val="0"/>
        <w:autoSpaceDN w:val="0"/>
        <w:adjustRightInd w:val="0"/>
        <w:spacing w:after="0" w:line="240" w:lineRule="auto"/>
        <w:rPr>
          <w:rFonts w:cs="Segoe UI"/>
          <w:lang w:bidi="ne-NP"/>
        </w:rPr>
      </w:pPr>
      <w:r w:rsidRPr="0069504E">
        <w:rPr>
          <w:rFonts w:cs="Segoe UI"/>
          <w:lang w:bidi="ne-NP"/>
        </w:rPr>
        <w:t xml:space="preserve">Patel et al </w:t>
      </w:r>
      <w:r w:rsidRPr="0069504E">
        <w:rPr>
          <w:rFonts w:cs="Segoe UI"/>
          <w:i/>
          <w:iCs/>
          <w:lang w:bidi="ne-NP"/>
        </w:rPr>
        <w:t xml:space="preserve">Global Mental Health </w:t>
      </w:r>
      <w:r w:rsidRPr="0069504E">
        <w:rPr>
          <w:rFonts w:cs="Segoe UI"/>
          <w:lang w:bidi="ne-NP"/>
        </w:rPr>
        <w:t>Chapter 2 – “Disorders, diagnosis, and classification”</w:t>
      </w:r>
    </w:p>
    <w:p w:rsidR="00903563" w:rsidRPr="0069504E" w:rsidRDefault="00903563" w:rsidP="00903563">
      <w:pPr>
        <w:pStyle w:val="ListParagraph"/>
        <w:numPr>
          <w:ilvl w:val="0"/>
          <w:numId w:val="18"/>
        </w:numPr>
        <w:spacing w:after="0" w:line="240" w:lineRule="auto"/>
      </w:pPr>
      <w:r w:rsidRPr="0069504E">
        <w:t xml:space="preserve">Kleinman, A. (2010). Four social theories for global health. </w:t>
      </w:r>
      <w:r w:rsidRPr="0069504E">
        <w:rPr>
          <w:i/>
          <w:iCs/>
        </w:rPr>
        <w:t>The Lancet, 375</w:t>
      </w:r>
      <w:r w:rsidRPr="0069504E">
        <w:t>(9725), 1518-1519.</w:t>
      </w:r>
    </w:p>
    <w:p w:rsidR="00903563" w:rsidRPr="0069504E" w:rsidRDefault="00903563" w:rsidP="005E7702">
      <w:pPr>
        <w:pStyle w:val="ListParagraph"/>
        <w:numPr>
          <w:ilvl w:val="0"/>
          <w:numId w:val="18"/>
        </w:numPr>
        <w:autoSpaceDE w:val="0"/>
        <w:autoSpaceDN w:val="0"/>
        <w:adjustRightInd w:val="0"/>
        <w:spacing w:after="0" w:line="240" w:lineRule="auto"/>
        <w:rPr>
          <w:rFonts w:cs="Segoe UI"/>
          <w:lang w:bidi="ne-NP"/>
        </w:rPr>
      </w:pPr>
      <w:r w:rsidRPr="0069504E">
        <w:t xml:space="preserve">Ethan Watters – The Americanization of Mental Illness, </w:t>
      </w:r>
      <w:r w:rsidRPr="0069504E">
        <w:rPr>
          <w:i/>
          <w:iCs/>
        </w:rPr>
        <w:t>New York Times</w:t>
      </w:r>
      <w:r w:rsidRPr="0069504E">
        <w:t xml:space="preserve">, 2010, Jan 8. </w:t>
      </w:r>
    </w:p>
    <w:p w:rsidR="005E7702" w:rsidRPr="0069504E" w:rsidRDefault="005E7702" w:rsidP="005E7702">
      <w:pPr>
        <w:pStyle w:val="ListParagraph"/>
        <w:numPr>
          <w:ilvl w:val="0"/>
          <w:numId w:val="18"/>
        </w:numPr>
        <w:autoSpaceDE w:val="0"/>
        <w:autoSpaceDN w:val="0"/>
        <w:adjustRightInd w:val="0"/>
        <w:spacing w:after="0" w:line="240" w:lineRule="auto"/>
        <w:rPr>
          <w:rFonts w:cs="Segoe UI"/>
          <w:lang w:bidi="ne-NP"/>
        </w:rPr>
      </w:pPr>
      <w:r w:rsidRPr="0069504E">
        <w:rPr>
          <w:rFonts w:cs="Segoe UI"/>
          <w:lang w:bidi="ne-NP"/>
        </w:rPr>
        <w:t xml:space="preserve">Kohrt &amp; Mendenhall </w:t>
      </w:r>
      <w:r w:rsidRPr="0069504E">
        <w:rPr>
          <w:rFonts w:cs="Segoe UI"/>
          <w:i/>
          <w:iCs/>
          <w:lang w:bidi="ne-NP"/>
        </w:rPr>
        <w:t xml:space="preserve">Global Mental Health: Anthropological Perspectives </w:t>
      </w:r>
      <w:r w:rsidRPr="0069504E">
        <w:rPr>
          <w:rFonts w:cs="Segoe UI"/>
          <w:lang w:bidi="ne-NP"/>
        </w:rPr>
        <w:t>Chapter 11 – “Who belongs in a psychiatric hospital?”</w:t>
      </w:r>
    </w:p>
    <w:p w:rsidR="005E7702" w:rsidRPr="0069504E" w:rsidRDefault="005E7702" w:rsidP="005E7702">
      <w:pPr>
        <w:pStyle w:val="ListParagraph"/>
        <w:numPr>
          <w:ilvl w:val="0"/>
          <w:numId w:val="18"/>
        </w:numPr>
        <w:autoSpaceDE w:val="0"/>
        <w:autoSpaceDN w:val="0"/>
        <w:adjustRightInd w:val="0"/>
        <w:spacing w:after="0" w:line="240" w:lineRule="auto"/>
        <w:rPr>
          <w:rFonts w:cs="Segoe UI"/>
          <w:lang w:bidi="ne-NP"/>
        </w:rPr>
      </w:pPr>
      <w:r w:rsidRPr="0069504E">
        <w:rPr>
          <w:rFonts w:cs="Segoe UI"/>
          <w:lang w:bidi="ne-NP"/>
        </w:rPr>
        <w:t xml:space="preserve">Kohrt &amp; Mendenhall </w:t>
      </w:r>
      <w:r w:rsidRPr="0069504E">
        <w:rPr>
          <w:rFonts w:cs="Segoe UI"/>
          <w:i/>
          <w:iCs/>
          <w:lang w:bidi="ne-NP"/>
        </w:rPr>
        <w:t xml:space="preserve">Global Mental Health: Anthropological Perspectives </w:t>
      </w:r>
      <w:r w:rsidRPr="0069504E">
        <w:rPr>
          <w:rFonts w:cs="Segoe UI"/>
          <w:lang w:bidi="ne-NP"/>
        </w:rPr>
        <w:t>Chapter 15 – “People, praxis, and power”</w:t>
      </w:r>
    </w:p>
    <w:p w:rsidR="00506330" w:rsidRPr="0069504E" w:rsidRDefault="00506330" w:rsidP="00E121BB">
      <w:pPr>
        <w:spacing w:after="0" w:line="240" w:lineRule="auto"/>
      </w:pPr>
    </w:p>
    <w:p w:rsidR="00E121BB" w:rsidRPr="0069504E" w:rsidRDefault="00E121BB" w:rsidP="00E121BB">
      <w:pPr>
        <w:spacing w:after="0" w:line="240" w:lineRule="auto"/>
      </w:pPr>
      <w:r w:rsidRPr="0069504E">
        <w:t>Week 5 – September 2</w:t>
      </w:r>
      <w:r w:rsidR="00151144" w:rsidRPr="0069504E">
        <w:t>4</w:t>
      </w:r>
    </w:p>
    <w:p w:rsidR="00151144" w:rsidRPr="0069504E" w:rsidRDefault="00151144" w:rsidP="00A11F05">
      <w:pPr>
        <w:spacing w:after="0" w:line="240" w:lineRule="auto"/>
      </w:pPr>
      <w:r w:rsidRPr="0069504E">
        <w:t>Guest Lecture: Eve Puffer</w:t>
      </w:r>
      <w:r w:rsidR="009929A5" w:rsidRPr="0069504E">
        <w:t xml:space="preserve">  [Student Presenters: Michelle &amp; Ali]</w:t>
      </w:r>
    </w:p>
    <w:p w:rsidR="00151144" w:rsidRPr="0069504E" w:rsidRDefault="00151144" w:rsidP="00A11F05">
      <w:pPr>
        <w:spacing w:after="0" w:line="240" w:lineRule="auto"/>
      </w:pPr>
      <w:r w:rsidRPr="0069504E">
        <w:t>FAMILY-BASED APPROACHES TO MENTAL HEALTH INTERVENTIONS</w:t>
      </w:r>
    </w:p>
    <w:p w:rsidR="00991F7F" w:rsidRPr="0069504E" w:rsidRDefault="00991F7F" w:rsidP="00991F7F">
      <w:pPr>
        <w:tabs>
          <w:tab w:val="left" w:pos="2038"/>
        </w:tabs>
        <w:spacing w:after="0" w:line="240" w:lineRule="auto"/>
      </w:pPr>
      <w:r w:rsidRPr="0069504E">
        <w:t>READINGS</w:t>
      </w:r>
    </w:p>
    <w:p w:rsidR="00991F7F" w:rsidRPr="0069504E" w:rsidRDefault="00991F7F" w:rsidP="004932DB">
      <w:pPr>
        <w:pStyle w:val="ListParagraph"/>
        <w:numPr>
          <w:ilvl w:val="0"/>
          <w:numId w:val="20"/>
        </w:numPr>
        <w:tabs>
          <w:tab w:val="left" w:pos="2038"/>
        </w:tabs>
        <w:spacing w:after="0" w:line="240" w:lineRule="auto"/>
      </w:pPr>
      <w:r w:rsidRPr="0069504E">
        <w:t xml:space="preserve">Kieling, C. et al. (2014). Child and adolescent mental health – chapter 15 in Patel et al. </w:t>
      </w:r>
      <w:r w:rsidRPr="0069504E">
        <w:rPr>
          <w:i/>
          <w:iCs/>
        </w:rPr>
        <w:t xml:space="preserve">Global Mental Health: Principles and Practice. </w:t>
      </w:r>
    </w:p>
    <w:p w:rsidR="00991F7F" w:rsidRPr="0069504E" w:rsidRDefault="00991F7F" w:rsidP="004932DB">
      <w:pPr>
        <w:pStyle w:val="ListParagraph"/>
        <w:numPr>
          <w:ilvl w:val="0"/>
          <w:numId w:val="20"/>
        </w:numPr>
        <w:tabs>
          <w:tab w:val="left" w:pos="2038"/>
        </w:tabs>
        <w:spacing w:after="0" w:line="240" w:lineRule="auto"/>
      </w:pPr>
      <w:r w:rsidRPr="0069504E">
        <w:t xml:space="preserve">Klasen, H., &amp;Crombag, A. C. (2013). What works where? A systematic review of child and adolescent mental health interventions for low- and middle-income countries. </w:t>
      </w:r>
      <w:r w:rsidRPr="0069504E">
        <w:rPr>
          <w:i/>
          <w:iCs/>
        </w:rPr>
        <w:t>Social psychiatry and psychiatric epidemiology</w:t>
      </w:r>
      <w:r w:rsidRPr="0069504E">
        <w:t>, pp. 1-17.</w:t>
      </w:r>
    </w:p>
    <w:p w:rsidR="00991F7F" w:rsidRPr="0069504E" w:rsidRDefault="00991F7F" w:rsidP="004932DB">
      <w:pPr>
        <w:pStyle w:val="ListParagraph"/>
        <w:numPr>
          <w:ilvl w:val="0"/>
          <w:numId w:val="20"/>
        </w:numPr>
        <w:tabs>
          <w:tab w:val="left" w:pos="2038"/>
        </w:tabs>
        <w:spacing w:after="0" w:line="240" w:lineRule="auto"/>
      </w:pPr>
      <w:r w:rsidRPr="0069504E">
        <w:t xml:space="preserve">Puffer, E. S., Green, E. P., Chase, R. M., Sim, A. L., Zayzay, J., Friis, E., ...&amp; Boone, L. (2015). Parents make the difference: a randomized-controlled trial of a parenting intervention in Liberia. </w:t>
      </w:r>
      <w:r w:rsidRPr="0069504E">
        <w:rPr>
          <w:i/>
          <w:iCs/>
        </w:rPr>
        <w:t>Global Mental Health</w:t>
      </w:r>
      <w:r w:rsidRPr="0069504E">
        <w:t>, 2, e15.</w:t>
      </w:r>
    </w:p>
    <w:p w:rsidR="00991F7F" w:rsidRPr="0069504E" w:rsidRDefault="00991F7F" w:rsidP="004932DB">
      <w:pPr>
        <w:pStyle w:val="ListParagraph"/>
        <w:numPr>
          <w:ilvl w:val="0"/>
          <w:numId w:val="20"/>
        </w:numPr>
        <w:tabs>
          <w:tab w:val="left" w:pos="2038"/>
        </w:tabs>
        <w:spacing w:after="0" w:line="240" w:lineRule="auto"/>
      </w:pPr>
      <w:r w:rsidRPr="0069504E">
        <w:lastRenderedPageBreak/>
        <w:t xml:space="preserve">Puffer, E. S., Pian, J., Sikkema, K. J., Ogwang-Odhiambo, R. A., &amp;Broverman, S. A. (2013). Developing a Family-Based Hiv Prevention Intervention in Rural Kenya: Challenges in Conducting Community-Based Participatory Research. </w:t>
      </w:r>
      <w:r w:rsidRPr="0069504E">
        <w:rPr>
          <w:i/>
          <w:iCs/>
        </w:rPr>
        <w:t>Journal of Empirical Research on Human Research Ethics</w:t>
      </w:r>
      <w:r w:rsidRPr="0069504E">
        <w:t>, 8(2), 119-128.</w:t>
      </w:r>
    </w:p>
    <w:p w:rsidR="00991F7F" w:rsidRPr="0069504E" w:rsidRDefault="00991F7F" w:rsidP="00991F7F">
      <w:pPr>
        <w:tabs>
          <w:tab w:val="left" w:pos="2038"/>
        </w:tabs>
        <w:spacing w:after="0" w:line="240" w:lineRule="auto"/>
      </w:pPr>
      <w:r w:rsidRPr="0069504E">
        <w:t xml:space="preserve">Suggested </w:t>
      </w:r>
      <w:r w:rsidRPr="0069504E">
        <w:rPr>
          <w:i/>
          <w:iCs/>
        </w:rPr>
        <w:t>optional</w:t>
      </w:r>
      <w:r w:rsidRPr="0069504E">
        <w:t xml:space="preserve"> reading: </w:t>
      </w:r>
    </w:p>
    <w:p w:rsidR="00151144" w:rsidRPr="0069504E" w:rsidRDefault="00991F7F" w:rsidP="004932DB">
      <w:pPr>
        <w:pStyle w:val="ListParagraph"/>
        <w:numPr>
          <w:ilvl w:val="0"/>
          <w:numId w:val="21"/>
        </w:numPr>
        <w:tabs>
          <w:tab w:val="left" w:pos="2038"/>
        </w:tabs>
        <w:spacing w:after="0" w:line="240" w:lineRule="auto"/>
      </w:pPr>
      <w:r w:rsidRPr="0069504E">
        <w:t xml:space="preserve">Erskine, H. E., Moffitt, T. E., Copeland, W. E., Costello, E. J., Ferrari, A. J., Patton, G., ... &amp; Scott, J. G. (2015). A heavy burden on young minds: the global burden of mental and substance use disorders in children and youth. </w:t>
      </w:r>
      <w:r w:rsidRPr="0069504E">
        <w:rPr>
          <w:i/>
          <w:iCs/>
        </w:rPr>
        <w:t>Psychological medicine</w:t>
      </w:r>
      <w:r w:rsidRPr="0069504E">
        <w:t>, 45(07), 1551-1563.</w:t>
      </w:r>
      <w:r w:rsidR="0029464D" w:rsidRPr="0069504E">
        <w:tab/>
      </w:r>
    </w:p>
    <w:p w:rsidR="00CD5B87" w:rsidRPr="0069504E" w:rsidRDefault="00CD5B87" w:rsidP="00A11F05">
      <w:pPr>
        <w:spacing w:after="0" w:line="240" w:lineRule="auto"/>
      </w:pPr>
    </w:p>
    <w:p w:rsidR="00E121BB" w:rsidRPr="0069504E" w:rsidRDefault="00E121BB" w:rsidP="00E121BB">
      <w:pPr>
        <w:spacing w:after="0" w:line="240" w:lineRule="auto"/>
      </w:pPr>
      <w:r w:rsidRPr="0069504E">
        <w:t xml:space="preserve">Week 6 – October </w:t>
      </w:r>
      <w:r w:rsidR="00151144" w:rsidRPr="0069504E">
        <w:t>1</w:t>
      </w:r>
    </w:p>
    <w:p w:rsidR="00991F7F" w:rsidRPr="0069504E" w:rsidRDefault="00991F7F" w:rsidP="00E121BB">
      <w:pPr>
        <w:spacing w:after="0" w:line="240" w:lineRule="auto"/>
        <w:rPr>
          <w:b/>
          <w:bCs/>
        </w:rPr>
      </w:pPr>
      <w:r w:rsidRPr="0069504E">
        <w:rPr>
          <w:b/>
          <w:bCs/>
        </w:rPr>
        <w:t xml:space="preserve">World Mental Health Day (WMHD) special event class; 2015 WMHD Theme “Dignity in Mental Health” </w:t>
      </w:r>
      <w:hyperlink r:id="rId10" w:history="1">
        <w:r w:rsidRPr="0069504E">
          <w:rPr>
            <w:rStyle w:val="Hyperlink"/>
            <w:b/>
            <w:bCs/>
          </w:rPr>
          <w:t>http://www.who.int/mental_health/world-mental-health-day/2015/en/</w:t>
        </w:r>
      </w:hyperlink>
    </w:p>
    <w:p w:rsidR="00920F79" w:rsidRPr="0069504E" w:rsidRDefault="00920F79" w:rsidP="00920F79">
      <w:pPr>
        <w:spacing w:after="0" w:line="240" w:lineRule="auto"/>
      </w:pPr>
      <w:r w:rsidRPr="0069504E">
        <w:t>STIGMA &amp; HUMAN RIGHTS IN GLOBAL MENTAL HEALTH</w:t>
      </w:r>
      <w:r w:rsidR="00A52272" w:rsidRPr="0069504E">
        <w:t xml:space="preserve">  [Student Presenters: Ellie and Taylor]</w:t>
      </w:r>
    </w:p>
    <w:p w:rsidR="00920F79" w:rsidRPr="0069504E" w:rsidRDefault="00920F79" w:rsidP="00920F79">
      <w:pPr>
        <w:tabs>
          <w:tab w:val="left" w:pos="1365"/>
        </w:tabs>
        <w:spacing w:after="0" w:line="240" w:lineRule="auto"/>
      </w:pPr>
      <w:r w:rsidRPr="0069504E">
        <w:t xml:space="preserve">Readings: </w:t>
      </w:r>
      <w:r w:rsidRPr="0069504E">
        <w:tab/>
      </w:r>
    </w:p>
    <w:p w:rsidR="004932DB" w:rsidRPr="0069504E" w:rsidRDefault="004932DB" w:rsidP="00920F79">
      <w:pPr>
        <w:pStyle w:val="ListParagraph"/>
        <w:numPr>
          <w:ilvl w:val="0"/>
          <w:numId w:val="6"/>
        </w:numPr>
        <w:autoSpaceDE w:val="0"/>
        <w:autoSpaceDN w:val="0"/>
        <w:adjustRightInd w:val="0"/>
        <w:spacing w:after="0" w:line="240" w:lineRule="auto"/>
        <w:rPr>
          <w:rFonts w:cs="Segoe UI"/>
          <w:lang w:bidi="ne-NP"/>
        </w:rPr>
      </w:pPr>
      <w:r w:rsidRPr="0069504E">
        <w:rPr>
          <w:rFonts w:cs="Segoe UI"/>
          <w:lang w:bidi="ne-NP"/>
        </w:rPr>
        <w:t>Mehta, N., &amp; Thornicroft, G. (2014). Stigma, discrimination, and promoting human rights. In V. Patel, H. Minas, A. Cohen &amp; M. J. Prince (Eds.), Global Mental Health: Principles and Practice (pp. 401-424). New York: Oxford University Press.</w:t>
      </w:r>
    </w:p>
    <w:p w:rsidR="004932DB" w:rsidRPr="0069504E" w:rsidRDefault="004932DB" w:rsidP="004932DB">
      <w:pPr>
        <w:pStyle w:val="ListParagraph"/>
        <w:numPr>
          <w:ilvl w:val="0"/>
          <w:numId w:val="6"/>
        </w:numPr>
        <w:autoSpaceDE w:val="0"/>
        <w:autoSpaceDN w:val="0"/>
        <w:adjustRightInd w:val="0"/>
        <w:spacing w:after="0" w:line="240" w:lineRule="auto"/>
        <w:rPr>
          <w:rFonts w:cs="Segoe UI"/>
          <w:lang w:bidi="ne-NP"/>
        </w:rPr>
      </w:pPr>
      <w:r w:rsidRPr="0069504E">
        <w:rPr>
          <w:rFonts w:cs="Segoe UI"/>
          <w:lang w:bidi="ne-NP"/>
        </w:rPr>
        <w:t xml:space="preserve">Ola, B., Crabb, J., Adewuya, A., Olugbile, F., &amp;Abosede, O.A. (2013) The State of Readiness of Lagos State Primary Health Care Physicians to Embrace the Care of Depression in Nigeria. </w:t>
      </w:r>
      <w:r w:rsidRPr="0069504E">
        <w:rPr>
          <w:rFonts w:cs="Segoe UI"/>
          <w:i/>
          <w:iCs/>
          <w:lang w:bidi="ne-NP"/>
        </w:rPr>
        <w:t>Community Ment Health J</w:t>
      </w:r>
      <w:r w:rsidRPr="0069504E">
        <w:rPr>
          <w:rFonts w:cs="Segoe UI"/>
          <w:lang w:bidi="ne-NP"/>
        </w:rPr>
        <w:t>,</w:t>
      </w:r>
    </w:p>
    <w:p w:rsidR="004932DB" w:rsidRPr="0069504E" w:rsidRDefault="004932DB" w:rsidP="004932DB">
      <w:pPr>
        <w:pStyle w:val="ListParagraph"/>
        <w:numPr>
          <w:ilvl w:val="0"/>
          <w:numId w:val="6"/>
        </w:numPr>
        <w:autoSpaceDE w:val="0"/>
        <w:autoSpaceDN w:val="0"/>
        <w:adjustRightInd w:val="0"/>
        <w:spacing w:after="0" w:line="240" w:lineRule="auto"/>
        <w:rPr>
          <w:rFonts w:cs="Segoe UI"/>
          <w:lang w:bidi="ne-NP"/>
        </w:rPr>
      </w:pPr>
      <w:r w:rsidRPr="0069504E">
        <w:rPr>
          <w:rFonts w:cs="Segoe UI"/>
          <w:lang w:bidi="ne-NP"/>
        </w:rPr>
        <w:t xml:space="preserve">Kohrt &amp; Mendenhall </w:t>
      </w:r>
      <w:r w:rsidRPr="0069504E">
        <w:rPr>
          <w:rFonts w:cs="Segoe UI"/>
          <w:i/>
          <w:iCs/>
          <w:lang w:bidi="ne-NP"/>
        </w:rPr>
        <w:t xml:space="preserve">Global Mental Health: Anthropological Perspectives </w:t>
      </w:r>
      <w:r w:rsidRPr="0069504E">
        <w:rPr>
          <w:rFonts w:cs="Segoe UI"/>
          <w:lang w:bidi="ne-NP"/>
        </w:rPr>
        <w:t>Chapter 9 – “Life under the wire”</w:t>
      </w:r>
    </w:p>
    <w:p w:rsidR="004932DB" w:rsidRPr="0069504E" w:rsidRDefault="004932DB" w:rsidP="004932DB">
      <w:pPr>
        <w:pStyle w:val="ListParagraph"/>
        <w:numPr>
          <w:ilvl w:val="0"/>
          <w:numId w:val="6"/>
        </w:numPr>
        <w:autoSpaceDE w:val="0"/>
        <w:autoSpaceDN w:val="0"/>
        <w:adjustRightInd w:val="0"/>
        <w:spacing w:after="0" w:line="240" w:lineRule="auto"/>
        <w:rPr>
          <w:rFonts w:cs="Segoe UI"/>
          <w:lang w:bidi="ne-NP"/>
        </w:rPr>
      </w:pPr>
      <w:r w:rsidRPr="0069504E">
        <w:rPr>
          <w:rFonts w:cs="Segoe UI"/>
          <w:lang w:bidi="ne-NP"/>
        </w:rPr>
        <w:t xml:space="preserve">Kohrt, B. A., Blasingame, E., Compton, M. T., Dakana, S. F., Dossen, B., Lang, F., . . . Cooper, J. (2015). Adapting the Crisis Intervention Team (CIT) Model of Police–Mental Health Collaboration in a Low-Income, Post-Conflict Country: Curriculum Development in Liberia, West Africa. </w:t>
      </w:r>
      <w:r w:rsidRPr="0069504E">
        <w:rPr>
          <w:rFonts w:cs="Segoe UI"/>
          <w:i/>
          <w:iCs/>
          <w:lang w:bidi="ne-NP"/>
        </w:rPr>
        <w:t>American Journal of Public Health</w:t>
      </w:r>
      <w:r w:rsidRPr="0069504E">
        <w:rPr>
          <w:rFonts w:cs="Segoe UI"/>
          <w:lang w:bidi="ne-NP"/>
        </w:rPr>
        <w:t>, 105(3), e73-e80. doi: 10.2105/AJPH.2014.302394</w:t>
      </w:r>
    </w:p>
    <w:p w:rsidR="00920F79" w:rsidRPr="0069504E" w:rsidRDefault="004932DB" w:rsidP="00506330">
      <w:pPr>
        <w:spacing w:after="0" w:line="240" w:lineRule="auto"/>
      </w:pPr>
      <w:r w:rsidRPr="0069504E">
        <w:rPr>
          <w:i/>
          <w:iCs/>
        </w:rPr>
        <w:t>Optional</w:t>
      </w:r>
      <w:r w:rsidRPr="0069504E">
        <w:t xml:space="preserve"> Reading:</w:t>
      </w:r>
    </w:p>
    <w:p w:rsidR="004932DB" w:rsidRPr="0069504E" w:rsidRDefault="004932DB" w:rsidP="004932DB">
      <w:pPr>
        <w:pStyle w:val="ListParagraph"/>
        <w:numPr>
          <w:ilvl w:val="0"/>
          <w:numId w:val="6"/>
        </w:numPr>
        <w:autoSpaceDE w:val="0"/>
        <w:autoSpaceDN w:val="0"/>
        <w:adjustRightInd w:val="0"/>
        <w:spacing w:after="0" w:line="240" w:lineRule="auto"/>
        <w:rPr>
          <w:rFonts w:cs="Segoe UI"/>
          <w:lang w:bidi="ne-NP"/>
        </w:rPr>
      </w:pPr>
      <w:r w:rsidRPr="0069504E">
        <w:rPr>
          <w:rFonts w:cs="Segoe UI"/>
          <w:lang w:bidi="ne-NP"/>
        </w:rPr>
        <w:t xml:space="preserve">Griffith, J., &amp; Kohrt, B. (2015). Managing Stigma Effectively: What Social Psychology and Social Neuroscience Can Teach Us. </w:t>
      </w:r>
      <w:r w:rsidRPr="0069504E">
        <w:rPr>
          <w:rFonts w:cs="Segoe UI"/>
          <w:i/>
          <w:iCs/>
          <w:lang w:bidi="ne-NP"/>
        </w:rPr>
        <w:t>Academic Psychiatry</w:t>
      </w:r>
      <w:r w:rsidRPr="0069504E">
        <w:rPr>
          <w:rFonts w:cs="Segoe UI"/>
          <w:lang w:bidi="ne-NP"/>
        </w:rPr>
        <w:t>, 1-9. doi: 10.1007/s40596-015-0391-0</w:t>
      </w:r>
    </w:p>
    <w:p w:rsidR="004932DB" w:rsidRPr="0069504E" w:rsidRDefault="004932DB" w:rsidP="004932DB">
      <w:pPr>
        <w:pBdr>
          <w:top w:val="single" w:sz="4" w:space="1" w:color="auto"/>
          <w:left w:val="single" w:sz="4" w:space="4" w:color="auto"/>
          <w:bottom w:val="single" w:sz="4" w:space="1" w:color="auto"/>
          <w:right w:val="single" w:sz="4" w:space="4" w:color="auto"/>
        </w:pBdr>
        <w:shd w:val="clear" w:color="auto" w:fill="FFFF00"/>
        <w:autoSpaceDE w:val="0"/>
        <w:autoSpaceDN w:val="0"/>
        <w:adjustRightInd w:val="0"/>
        <w:spacing w:after="0" w:line="240" w:lineRule="auto"/>
        <w:rPr>
          <w:rFonts w:cs="Segoe UI"/>
          <w:lang w:bidi="ne-NP"/>
        </w:rPr>
      </w:pPr>
      <w:r w:rsidRPr="0069504E">
        <w:rPr>
          <w:rFonts w:cs="Segoe UI"/>
          <w:lang w:bidi="ne-NP"/>
        </w:rPr>
        <w:t xml:space="preserve">For World Mental Health Day, class will be held in Trent Hall from 3-3:45pm, we will then reconvene at </w:t>
      </w:r>
      <w:r w:rsidRPr="0069504E">
        <w:rPr>
          <w:rFonts w:cs="Segoe UI"/>
          <w:b/>
          <w:bCs/>
          <w:lang w:bidi="ne-NP"/>
        </w:rPr>
        <w:t>4pm</w:t>
      </w:r>
      <w:r w:rsidRPr="0069504E">
        <w:rPr>
          <w:rFonts w:cs="Segoe UI"/>
          <w:lang w:bidi="ne-NP"/>
        </w:rPr>
        <w:t xml:space="preserve"> in the </w:t>
      </w:r>
      <w:r w:rsidRPr="0069504E">
        <w:rPr>
          <w:rFonts w:cs="Segoe UI"/>
          <w:b/>
          <w:bCs/>
          <w:lang w:bidi="ne-NP"/>
        </w:rPr>
        <w:t>John Hope Franklin Humanities Building, Room #240</w:t>
      </w:r>
      <w:r w:rsidRPr="0069504E">
        <w:rPr>
          <w:rFonts w:cs="Segoe UI"/>
          <w:lang w:bidi="ne-NP"/>
        </w:rPr>
        <w:t xml:space="preserve"> (diagonally across Erwin Road from Trent Hall). There will be a panel presentation from 4-5pm on Dignity in Mental Health followed by a reception from 5-5:30pm.  </w:t>
      </w:r>
    </w:p>
    <w:p w:rsidR="004932DB" w:rsidRPr="0069504E" w:rsidRDefault="004932DB" w:rsidP="00506330">
      <w:pPr>
        <w:spacing w:after="0" w:line="240" w:lineRule="auto"/>
      </w:pPr>
    </w:p>
    <w:p w:rsidR="00E121BB" w:rsidRPr="0069504E" w:rsidRDefault="00E121BB" w:rsidP="00E121BB">
      <w:pPr>
        <w:spacing w:after="0" w:line="240" w:lineRule="auto"/>
      </w:pPr>
      <w:r w:rsidRPr="0069504E">
        <w:t xml:space="preserve">Week 7 – October </w:t>
      </w:r>
      <w:r w:rsidR="00151144" w:rsidRPr="0069504E">
        <w:t>8</w:t>
      </w:r>
    </w:p>
    <w:p w:rsidR="0073257D" w:rsidRPr="0069504E" w:rsidRDefault="0073257D" w:rsidP="0073257D">
      <w:pPr>
        <w:spacing w:after="0" w:line="240" w:lineRule="auto"/>
      </w:pPr>
      <w:r w:rsidRPr="0069504E">
        <w:t xml:space="preserve">MATERNAL AND CHILD MENTAL HEALTH </w:t>
      </w:r>
      <w:r w:rsidR="0069504E" w:rsidRPr="0069504E">
        <w:t>[Student Presenters: Brittany &amp; Andi]</w:t>
      </w:r>
    </w:p>
    <w:p w:rsidR="00151144" w:rsidRPr="0069504E" w:rsidRDefault="00151144" w:rsidP="00CD5B87">
      <w:pPr>
        <w:spacing w:after="0" w:line="240" w:lineRule="auto"/>
      </w:pPr>
      <w:r w:rsidRPr="0069504E">
        <w:t>Guest Lecture: Asia Maselko</w:t>
      </w:r>
    </w:p>
    <w:p w:rsidR="005D7075" w:rsidRPr="0069504E" w:rsidRDefault="005D7075" w:rsidP="0069504E">
      <w:pPr>
        <w:pStyle w:val="ListParagraph"/>
        <w:numPr>
          <w:ilvl w:val="0"/>
          <w:numId w:val="6"/>
        </w:numPr>
        <w:spacing w:after="0" w:line="240" w:lineRule="auto"/>
      </w:pPr>
      <w:r w:rsidRPr="0069504E">
        <w:t xml:space="preserve">Frankenhuis, W. E., &amp; Del Giudice, M. (2012). When do adaptive developmental mechanisms yield maladaptive outcomes? </w:t>
      </w:r>
      <w:r w:rsidRPr="0069504E">
        <w:rPr>
          <w:i/>
          <w:iCs/>
        </w:rPr>
        <w:t>Developmental psychology</w:t>
      </w:r>
      <w:r w:rsidRPr="0069504E">
        <w:t>, 48(3), 628.</w:t>
      </w:r>
    </w:p>
    <w:p w:rsidR="004A4FE6" w:rsidRPr="0069504E" w:rsidRDefault="004A4FE6" w:rsidP="0069504E">
      <w:pPr>
        <w:pStyle w:val="ListParagraph"/>
        <w:numPr>
          <w:ilvl w:val="0"/>
          <w:numId w:val="6"/>
        </w:numPr>
        <w:spacing w:after="0" w:line="240" w:lineRule="auto"/>
      </w:pPr>
      <w:r w:rsidRPr="0069504E">
        <w:t xml:space="preserve">Goodman, S. H., &amp;Gotlib, I. H. (1999). Risk for psychopathology in the children of depressed mothers: a developmental model for understanding mechanisms of transmission. </w:t>
      </w:r>
      <w:r w:rsidRPr="0069504E">
        <w:rPr>
          <w:i/>
          <w:iCs/>
        </w:rPr>
        <w:t>Psychological review</w:t>
      </w:r>
      <w:r w:rsidRPr="0069504E">
        <w:t>, 106(3), 458.</w:t>
      </w:r>
    </w:p>
    <w:p w:rsidR="005D7075" w:rsidRPr="0069504E" w:rsidRDefault="005D7075" w:rsidP="0069504E">
      <w:pPr>
        <w:pStyle w:val="ListParagraph"/>
        <w:numPr>
          <w:ilvl w:val="0"/>
          <w:numId w:val="6"/>
        </w:numPr>
        <w:spacing w:after="0" w:line="240" w:lineRule="auto"/>
      </w:pPr>
      <w:r w:rsidRPr="0069504E">
        <w:t xml:space="preserve">Rahman, A., Malik, A., Sikander, S., Roberts, C., &amp; Creed, F. (2008). Cognitive behaviour therapy-based intervention by community health workers for mothers with depression and their infants in rural Pakistan: a cluster-randomised controlled trial. </w:t>
      </w:r>
      <w:r w:rsidRPr="0069504E">
        <w:rPr>
          <w:i/>
          <w:iCs/>
        </w:rPr>
        <w:t>Lancet</w:t>
      </w:r>
      <w:r w:rsidRPr="0069504E">
        <w:t>, 372(9642), 902-909.</w:t>
      </w:r>
    </w:p>
    <w:p w:rsidR="005D7075" w:rsidRPr="0069504E" w:rsidRDefault="005D7075" w:rsidP="0069504E">
      <w:pPr>
        <w:pStyle w:val="ListParagraph"/>
        <w:numPr>
          <w:ilvl w:val="0"/>
          <w:numId w:val="6"/>
        </w:numPr>
        <w:spacing w:after="0" w:line="240" w:lineRule="auto"/>
      </w:pPr>
      <w:r w:rsidRPr="0069504E">
        <w:t xml:space="preserve">Maselko, J., Sikander, S., Bhalotra, S., Bangash, O., Ganga, N., Mukherjee, S., . . . Rahman, A. (2015). Effect of an early perinatal depression intervention on long-term child development outcomes: follow-up of the Thinking Healthy Programmerandomised controlled trial. </w:t>
      </w:r>
      <w:r w:rsidRPr="0069504E">
        <w:rPr>
          <w:i/>
          <w:iCs/>
        </w:rPr>
        <w:t>Lancet Psychiatry</w:t>
      </w:r>
      <w:r w:rsidRPr="0069504E">
        <w:t>, 2(7), 609-617. doi: http://dx.doi.org/10.1016/S2215-0366(15)00109-1</w:t>
      </w:r>
    </w:p>
    <w:p w:rsidR="005D7075" w:rsidRPr="0069504E" w:rsidRDefault="005D7075" w:rsidP="00A11F05">
      <w:pPr>
        <w:spacing w:after="0" w:line="240" w:lineRule="auto"/>
      </w:pPr>
    </w:p>
    <w:p w:rsidR="00A11F05" w:rsidRPr="0069504E" w:rsidRDefault="007B2E66" w:rsidP="00A11F05">
      <w:pPr>
        <w:spacing w:after="0" w:line="240" w:lineRule="auto"/>
      </w:pPr>
      <w:r w:rsidRPr="0069504E">
        <w:t>Week 8 – October 1</w:t>
      </w:r>
      <w:r w:rsidR="00151144" w:rsidRPr="0069504E">
        <w:t>5</w:t>
      </w:r>
    </w:p>
    <w:p w:rsidR="00920F79" w:rsidRPr="0069504E" w:rsidRDefault="00920F79" w:rsidP="00920F79">
      <w:pPr>
        <w:spacing w:after="0" w:line="240" w:lineRule="auto"/>
      </w:pPr>
      <w:r w:rsidRPr="0069504E">
        <w:t>CULTURE &amp; EPIDEMIOLOGY: CROSS-CULTURAL PREVALENCE OF MENTAL ILLNESS</w:t>
      </w:r>
      <w:r w:rsidR="0069504E" w:rsidRPr="0069504E">
        <w:t xml:space="preserve"> [Student Presenters: Estefania &amp; Erin]</w:t>
      </w:r>
    </w:p>
    <w:p w:rsidR="00920F79" w:rsidRPr="0069504E" w:rsidRDefault="00920F79" w:rsidP="00920F79">
      <w:pPr>
        <w:spacing w:after="0" w:line="240" w:lineRule="auto"/>
      </w:pPr>
      <w:r w:rsidRPr="0069504E">
        <w:t xml:space="preserve">Readings: </w:t>
      </w:r>
    </w:p>
    <w:p w:rsidR="00920F79" w:rsidRPr="0069504E" w:rsidRDefault="00920F79" w:rsidP="00920F79">
      <w:pPr>
        <w:pStyle w:val="ListParagraph"/>
        <w:numPr>
          <w:ilvl w:val="0"/>
          <w:numId w:val="4"/>
        </w:numPr>
        <w:autoSpaceDE w:val="0"/>
        <w:autoSpaceDN w:val="0"/>
        <w:adjustRightInd w:val="0"/>
        <w:spacing w:after="0" w:line="240" w:lineRule="auto"/>
        <w:rPr>
          <w:rFonts w:cs="Segoe UI"/>
          <w:lang w:bidi="ne-NP"/>
        </w:rPr>
      </w:pPr>
      <w:r w:rsidRPr="0069504E">
        <w:rPr>
          <w:rFonts w:cs="Segoe UI"/>
          <w:lang w:bidi="ne-NP"/>
        </w:rPr>
        <w:t xml:space="preserve">Patel et al. 2014 </w:t>
      </w:r>
      <w:r w:rsidRPr="0069504E">
        <w:rPr>
          <w:rFonts w:cs="Segoe UI"/>
          <w:i/>
          <w:iCs/>
          <w:lang w:bidi="ne-NP"/>
        </w:rPr>
        <w:t xml:space="preserve">Global Mental Health </w:t>
      </w:r>
      <w:r w:rsidRPr="0069504E">
        <w:rPr>
          <w:rFonts w:cs="Segoe UI"/>
          <w:lang w:bidi="ne-NP"/>
        </w:rPr>
        <w:t>Chapter 4 – Cross-Cultural Research and Practice</w:t>
      </w:r>
      <w:r w:rsidR="004932DB" w:rsidRPr="0069504E">
        <w:rPr>
          <w:rFonts w:cs="Segoe UI"/>
          <w:lang w:bidi="ne-NP"/>
        </w:rPr>
        <w:t xml:space="preserve"> [</w:t>
      </w:r>
      <w:r w:rsidR="004932DB" w:rsidRPr="0069504E">
        <w:rPr>
          <w:rFonts w:cs="Segoe UI"/>
          <w:highlight w:val="yellow"/>
          <w:lang w:bidi="ne-NP"/>
        </w:rPr>
        <w:t>For students who read Chapter 4 during week three, please read Chapter 3 by Laurence Kirmayer</w:t>
      </w:r>
      <w:r w:rsidR="004932DB" w:rsidRPr="0069504E">
        <w:rPr>
          <w:rFonts w:cs="Segoe UI"/>
          <w:lang w:bidi="ne-NP"/>
        </w:rPr>
        <w:t>]</w:t>
      </w:r>
    </w:p>
    <w:p w:rsidR="00920F79" w:rsidRPr="0069504E" w:rsidRDefault="00920F79" w:rsidP="00920F79">
      <w:pPr>
        <w:pStyle w:val="ListParagraph"/>
        <w:numPr>
          <w:ilvl w:val="0"/>
          <w:numId w:val="4"/>
        </w:numPr>
        <w:autoSpaceDE w:val="0"/>
        <w:autoSpaceDN w:val="0"/>
        <w:adjustRightInd w:val="0"/>
        <w:spacing w:after="0" w:line="240" w:lineRule="auto"/>
        <w:rPr>
          <w:rFonts w:cs="Segoe UI"/>
          <w:lang w:bidi="ne-NP"/>
        </w:rPr>
      </w:pPr>
      <w:r w:rsidRPr="0069504E">
        <w:rPr>
          <w:rFonts w:cs="Segoe UI"/>
          <w:lang w:bidi="ne-NP"/>
        </w:rPr>
        <w:lastRenderedPageBreak/>
        <w:t xml:space="preserve">Hruschka, D. J., &amp; Hadley, C. (2008). A glossary of culture in epidemiology. </w:t>
      </w:r>
      <w:r w:rsidRPr="0069504E">
        <w:rPr>
          <w:rFonts w:cs="Segoe UI"/>
          <w:i/>
          <w:iCs/>
          <w:lang w:bidi="ne-NP"/>
        </w:rPr>
        <w:t>Journal of Epidemiology &amp; Community Health, 62</w:t>
      </w:r>
      <w:r w:rsidRPr="0069504E">
        <w:rPr>
          <w:rFonts w:cs="Segoe UI"/>
          <w:lang w:bidi="ne-NP"/>
        </w:rPr>
        <w:t>(11), 947-951.</w:t>
      </w:r>
    </w:p>
    <w:p w:rsidR="00920F79" w:rsidRPr="0069504E" w:rsidRDefault="00920F79" w:rsidP="00920F79">
      <w:pPr>
        <w:pStyle w:val="ListParagraph"/>
        <w:numPr>
          <w:ilvl w:val="0"/>
          <w:numId w:val="4"/>
        </w:numPr>
        <w:autoSpaceDE w:val="0"/>
        <w:autoSpaceDN w:val="0"/>
        <w:adjustRightInd w:val="0"/>
        <w:spacing w:after="0" w:line="240" w:lineRule="auto"/>
        <w:rPr>
          <w:rFonts w:cs="Segoe UI"/>
          <w:lang w:bidi="ne-NP"/>
        </w:rPr>
      </w:pPr>
      <w:r w:rsidRPr="0069504E">
        <w:rPr>
          <w:rFonts w:cs="Segoe UI"/>
          <w:lang w:bidi="ne-NP"/>
        </w:rPr>
        <w:t xml:space="preserve">Kohrt, B. A., Jordans, M. J., Tol, W. A., Luitel, N. P., Maharjan, S. M., &amp; Upadhaya, N. (2011). Validation of cross-cultural child mental health and psychosocial research instruments: adapting the Depression Self-Rating Scale and Child PTSD Symptom Scale in Nepal. </w:t>
      </w:r>
      <w:r w:rsidRPr="0069504E">
        <w:rPr>
          <w:rFonts w:cs="Segoe UI"/>
          <w:i/>
          <w:iCs/>
          <w:lang w:bidi="ne-NP"/>
        </w:rPr>
        <w:t>BMC Psychiatry, 11</w:t>
      </w:r>
      <w:r w:rsidRPr="0069504E">
        <w:rPr>
          <w:rFonts w:cs="Segoe UI"/>
          <w:lang w:bidi="ne-NP"/>
        </w:rPr>
        <w:t>(1), e127.</w:t>
      </w:r>
    </w:p>
    <w:p w:rsidR="00920F79" w:rsidRPr="0069504E" w:rsidRDefault="00920F79" w:rsidP="00920F79">
      <w:pPr>
        <w:pStyle w:val="ListParagraph"/>
        <w:numPr>
          <w:ilvl w:val="0"/>
          <w:numId w:val="4"/>
        </w:numPr>
        <w:autoSpaceDE w:val="0"/>
        <w:autoSpaceDN w:val="0"/>
        <w:adjustRightInd w:val="0"/>
        <w:spacing w:after="0" w:line="240" w:lineRule="auto"/>
        <w:rPr>
          <w:rFonts w:cs="Segoe UI"/>
          <w:lang w:bidi="ne-NP"/>
        </w:rPr>
      </w:pPr>
      <w:r w:rsidRPr="0069504E">
        <w:rPr>
          <w:rFonts w:cs="Segoe UI"/>
          <w:lang w:bidi="ne-NP"/>
        </w:rPr>
        <w:t xml:space="preserve">Bolton, P. (2001) Cross-cultural validity and reliability testing of a standard psychiatric assessment instrument without a gold standard. </w:t>
      </w:r>
      <w:r w:rsidRPr="0069504E">
        <w:rPr>
          <w:rFonts w:cs="Segoe UI"/>
          <w:i/>
          <w:iCs/>
          <w:lang w:bidi="ne-NP"/>
        </w:rPr>
        <w:t xml:space="preserve">Journal of Nervous &amp; Mental Disease, </w:t>
      </w:r>
      <w:r w:rsidRPr="0069504E">
        <w:rPr>
          <w:rFonts w:cs="Segoe UI"/>
          <w:lang w:bidi="ne-NP"/>
        </w:rPr>
        <w:t>189(4), pp. 238-242.</w:t>
      </w:r>
    </w:p>
    <w:p w:rsidR="00920F79" w:rsidRPr="0069504E" w:rsidRDefault="00920F79" w:rsidP="00920F79">
      <w:pPr>
        <w:pStyle w:val="ListParagraph"/>
        <w:numPr>
          <w:ilvl w:val="0"/>
          <w:numId w:val="4"/>
        </w:numPr>
        <w:autoSpaceDE w:val="0"/>
        <w:autoSpaceDN w:val="0"/>
        <w:adjustRightInd w:val="0"/>
        <w:spacing w:after="0" w:line="240" w:lineRule="auto"/>
        <w:rPr>
          <w:rFonts w:cs="Segoe UI"/>
          <w:lang w:bidi="ne-NP"/>
        </w:rPr>
      </w:pPr>
      <w:r w:rsidRPr="0069504E">
        <w:rPr>
          <w:rFonts w:cs="Segoe UI"/>
          <w:lang w:bidi="ne-NP"/>
        </w:rPr>
        <w:t xml:space="preserve">Shibre, T., Teferra, S., Morgan, C., &amp; Alem, A. (2010) Exploring the apparent absence of psychosis amongst the Borana pastoralist community of Southern Ethiopia. A mixed method follow-up study. </w:t>
      </w:r>
      <w:r w:rsidRPr="0069504E">
        <w:rPr>
          <w:rFonts w:cs="Segoe UI"/>
          <w:i/>
          <w:iCs/>
          <w:lang w:bidi="ne-NP"/>
        </w:rPr>
        <w:t xml:space="preserve">World Psychiatry, </w:t>
      </w:r>
      <w:r w:rsidRPr="0069504E">
        <w:rPr>
          <w:rFonts w:cs="Segoe UI"/>
          <w:lang w:bidi="ne-NP"/>
        </w:rPr>
        <w:t>9(2), pp. 98-102.</w:t>
      </w:r>
    </w:p>
    <w:p w:rsidR="00C94677" w:rsidRPr="0069504E" w:rsidRDefault="004932DB" w:rsidP="00506330">
      <w:pPr>
        <w:spacing w:after="0" w:line="240" w:lineRule="auto"/>
      </w:pPr>
      <w:r w:rsidRPr="0069504E">
        <w:t xml:space="preserve">Suggested </w:t>
      </w:r>
      <w:r w:rsidRPr="0069504E">
        <w:rPr>
          <w:i/>
          <w:iCs/>
        </w:rPr>
        <w:t>optional</w:t>
      </w:r>
      <w:r w:rsidRPr="0069504E">
        <w:t xml:space="preserve"> reading</w:t>
      </w:r>
    </w:p>
    <w:p w:rsidR="004932DB" w:rsidRPr="0069504E" w:rsidRDefault="004932DB" w:rsidP="004932DB">
      <w:pPr>
        <w:pStyle w:val="ListParagraph"/>
        <w:numPr>
          <w:ilvl w:val="0"/>
          <w:numId w:val="4"/>
        </w:numPr>
        <w:autoSpaceDE w:val="0"/>
        <w:autoSpaceDN w:val="0"/>
        <w:adjustRightInd w:val="0"/>
        <w:spacing w:after="0" w:line="240" w:lineRule="auto"/>
        <w:rPr>
          <w:rFonts w:cs="Segoe UI"/>
          <w:lang w:bidi="ne-NP"/>
        </w:rPr>
      </w:pPr>
      <w:r w:rsidRPr="0069504E">
        <w:rPr>
          <w:rFonts w:cs="Segoe UI"/>
          <w:lang w:bidi="ne-NP"/>
        </w:rPr>
        <w:t xml:space="preserve">Van Ommeren, M. (2003) Validity issues in transcultural epidemiology. </w:t>
      </w:r>
      <w:r w:rsidRPr="0069504E">
        <w:rPr>
          <w:rFonts w:cs="Segoe UI"/>
          <w:i/>
          <w:iCs/>
          <w:lang w:bidi="ne-NP"/>
        </w:rPr>
        <w:t xml:space="preserve">British Journal of Psychiatry, </w:t>
      </w:r>
      <w:r w:rsidRPr="0069504E">
        <w:rPr>
          <w:rFonts w:cs="Segoe UI"/>
          <w:lang w:bidi="ne-NP"/>
        </w:rPr>
        <w:t>182, pp. 376-378.</w:t>
      </w:r>
    </w:p>
    <w:p w:rsidR="004932DB" w:rsidRPr="0069504E" w:rsidRDefault="004932DB" w:rsidP="00506330">
      <w:pPr>
        <w:spacing w:after="0" w:line="240" w:lineRule="auto"/>
      </w:pPr>
    </w:p>
    <w:p w:rsidR="00A11F05" w:rsidRPr="0069504E" w:rsidRDefault="007B2E66" w:rsidP="00A11F05">
      <w:pPr>
        <w:spacing w:after="0" w:line="240" w:lineRule="auto"/>
      </w:pPr>
      <w:r w:rsidRPr="0069504E">
        <w:t>Week 9 – October 2</w:t>
      </w:r>
      <w:r w:rsidR="00151144" w:rsidRPr="0069504E">
        <w:t>2</w:t>
      </w:r>
    </w:p>
    <w:p w:rsidR="003B2E6A" w:rsidRPr="0069504E" w:rsidRDefault="003B2E6A" w:rsidP="003B2E6A">
      <w:pPr>
        <w:spacing w:after="0" w:line="240" w:lineRule="auto"/>
      </w:pPr>
      <w:r w:rsidRPr="0069504E">
        <w:t>CASE STUDIES IN TASK SHARING – SOUTH AFRICA &amp; NEPAL</w:t>
      </w:r>
      <w:r w:rsidR="0069504E" w:rsidRPr="0069504E">
        <w:t xml:space="preserve"> [Student Presenters: ]</w:t>
      </w:r>
    </w:p>
    <w:p w:rsidR="003B2E6A" w:rsidRPr="0069504E" w:rsidRDefault="007C0497" w:rsidP="003B2E6A">
      <w:pPr>
        <w:spacing w:after="0" w:line="240" w:lineRule="auto"/>
      </w:pPr>
      <w:r w:rsidRPr="0069504E">
        <w:t>GUEST LECTURE</w:t>
      </w:r>
      <w:r w:rsidR="006B68DF" w:rsidRPr="0069504E">
        <w:t xml:space="preserve">: </w:t>
      </w:r>
    </w:p>
    <w:p w:rsidR="007C0497" w:rsidRPr="0069504E" w:rsidRDefault="003B2E6A" w:rsidP="003B2E6A">
      <w:pPr>
        <w:pStyle w:val="ListParagraph"/>
        <w:spacing w:after="0" w:line="240" w:lineRule="auto"/>
        <w:ind w:left="360"/>
      </w:pPr>
      <w:r w:rsidRPr="0069504E">
        <w:rPr>
          <w:b/>
          <w:bCs/>
        </w:rPr>
        <w:t>Thirusha Naidu</w:t>
      </w:r>
      <w:r w:rsidRPr="0069504E">
        <w:t>, Department of Behavioural Medicine, University of KwaZulu-Natal, South Africa</w:t>
      </w:r>
    </w:p>
    <w:p w:rsidR="003B2E6A" w:rsidRPr="0069504E" w:rsidRDefault="003B2E6A" w:rsidP="003B2E6A">
      <w:pPr>
        <w:pStyle w:val="ListParagraph"/>
        <w:spacing w:after="0" w:line="240" w:lineRule="auto"/>
        <w:ind w:left="360"/>
      </w:pPr>
      <w:r w:rsidRPr="0069504E">
        <w:rPr>
          <w:b/>
          <w:bCs/>
        </w:rPr>
        <w:t>Suraj Koirala</w:t>
      </w:r>
      <w:r w:rsidRPr="0069504E">
        <w:t>, Executive Manager, Transcultural Psychosocial Organization Nepal, Kathmandu, Nepal</w:t>
      </w:r>
    </w:p>
    <w:p w:rsidR="003B2E6A" w:rsidRPr="0069504E" w:rsidRDefault="003B2E6A" w:rsidP="003B2E6A">
      <w:pPr>
        <w:pStyle w:val="ListParagraph"/>
        <w:spacing w:after="0" w:line="240" w:lineRule="auto"/>
        <w:ind w:left="360"/>
      </w:pPr>
      <w:r w:rsidRPr="0069504E">
        <w:rPr>
          <w:b/>
          <w:bCs/>
        </w:rPr>
        <w:t xml:space="preserve">Nagendra Luitel, </w:t>
      </w:r>
      <w:r w:rsidRPr="0069504E">
        <w:t>Research Manager, Transcultural Psychosocial Organization Nepal, Kathmandu, Nepal</w:t>
      </w:r>
    </w:p>
    <w:p w:rsidR="00792885" w:rsidRPr="0069504E" w:rsidRDefault="00151144" w:rsidP="003B2E6A">
      <w:pPr>
        <w:spacing w:after="0" w:line="240" w:lineRule="auto"/>
      </w:pPr>
      <w:r w:rsidRPr="0069504E">
        <w:t xml:space="preserve">Readings: </w:t>
      </w:r>
    </w:p>
    <w:p w:rsidR="003B2E6A" w:rsidRPr="0069504E" w:rsidRDefault="003B2E6A" w:rsidP="003B2E6A">
      <w:pPr>
        <w:pStyle w:val="ListParagraph"/>
        <w:numPr>
          <w:ilvl w:val="0"/>
          <w:numId w:val="4"/>
        </w:numPr>
        <w:autoSpaceDE w:val="0"/>
        <w:autoSpaceDN w:val="0"/>
        <w:adjustRightInd w:val="0"/>
        <w:spacing w:after="0" w:line="240" w:lineRule="auto"/>
        <w:rPr>
          <w:rFonts w:cs="Segoe UI"/>
          <w:lang w:bidi="ne-NP"/>
        </w:rPr>
      </w:pPr>
      <w:r w:rsidRPr="0069504E">
        <w:rPr>
          <w:rFonts w:cs="Segoe UI"/>
          <w:lang w:bidi="ne-NP"/>
        </w:rPr>
        <w:t xml:space="preserve">Mendenhall, E., De Silva, M. J., Hanlon, C., Petersen, I., Shidhaye, R., Jordans, M., . . . Lund, C. (2014). Acceptability and feasibility of using non-specialist health workers to deliver mental health care: Stakeholder perceptions from the PRIME district sites in Ethiopia, India, Nepal, South Africa, and Uganda. </w:t>
      </w:r>
      <w:r w:rsidRPr="0069504E">
        <w:rPr>
          <w:rFonts w:cs="Segoe UI"/>
          <w:i/>
          <w:iCs/>
          <w:lang w:bidi="ne-NP"/>
        </w:rPr>
        <w:t>Social Science &amp; Medicine, 118</w:t>
      </w:r>
      <w:r w:rsidRPr="0069504E">
        <w:rPr>
          <w:rFonts w:cs="Segoe UI"/>
          <w:lang w:bidi="ne-NP"/>
        </w:rPr>
        <w:t xml:space="preserve">, 33-42. doi: </w:t>
      </w:r>
      <w:hyperlink r:id="rId11" w:history="1">
        <w:r w:rsidRPr="0069504E">
          <w:rPr>
            <w:rStyle w:val="Hyperlink"/>
            <w:rFonts w:cs="Segoe UI"/>
            <w:lang w:bidi="ne-NP"/>
          </w:rPr>
          <w:t>http://dx.doi.org/10.1016/j.socscimed.2014.07.057</w:t>
        </w:r>
      </w:hyperlink>
    </w:p>
    <w:p w:rsidR="006B68DF" w:rsidRPr="0069504E" w:rsidRDefault="006B68DF" w:rsidP="006B68DF">
      <w:pPr>
        <w:pStyle w:val="ListParagraph"/>
        <w:numPr>
          <w:ilvl w:val="0"/>
          <w:numId w:val="4"/>
        </w:numPr>
        <w:autoSpaceDE w:val="0"/>
        <w:autoSpaceDN w:val="0"/>
        <w:adjustRightInd w:val="0"/>
        <w:spacing w:after="0" w:line="240" w:lineRule="auto"/>
        <w:rPr>
          <w:rFonts w:cs="Segoe UI"/>
          <w:lang w:bidi="ne-NP"/>
        </w:rPr>
      </w:pPr>
      <w:r w:rsidRPr="0069504E">
        <w:rPr>
          <w:rFonts w:cs="Segoe UI"/>
          <w:lang w:bidi="ne-NP"/>
        </w:rPr>
        <w:t xml:space="preserve">Luitel, N., Jordans, M., Adhikari, A., Upadhaya, N., Hanlon, C., Lund, C., &amp;Komproe, I. (2015). Mental health care in Nepal: current situation and challenges for development of a district mental health care plan. </w:t>
      </w:r>
      <w:r w:rsidRPr="0069504E">
        <w:rPr>
          <w:rFonts w:cs="Segoe UI"/>
          <w:i/>
          <w:iCs/>
          <w:lang w:bidi="ne-NP"/>
        </w:rPr>
        <w:t>Conflict and Health, 9</w:t>
      </w:r>
      <w:r w:rsidRPr="0069504E">
        <w:rPr>
          <w:rFonts w:cs="Segoe UI"/>
          <w:lang w:bidi="ne-NP"/>
        </w:rPr>
        <w:t xml:space="preserve">(1), 3. </w:t>
      </w:r>
    </w:p>
    <w:p w:rsidR="003B2E6A" w:rsidRPr="0069504E" w:rsidRDefault="003B2E6A" w:rsidP="003B2E6A">
      <w:pPr>
        <w:pStyle w:val="ListParagraph"/>
        <w:numPr>
          <w:ilvl w:val="0"/>
          <w:numId w:val="4"/>
        </w:numPr>
        <w:autoSpaceDE w:val="0"/>
        <w:autoSpaceDN w:val="0"/>
        <w:adjustRightInd w:val="0"/>
        <w:spacing w:after="0" w:line="240" w:lineRule="auto"/>
        <w:rPr>
          <w:rFonts w:cs="Segoe UI"/>
          <w:lang w:bidi="ne-NP"/>
        </w:rPr>
      </w:pPr>
      <w:r w:rsidRPr="0069504E">
        <w:rPr>
          <w:rFonts w:cs="Segoe UI"/>
          <w:lang w:bidi="ne-NP"/>
        </w:rPr>
        <w:t xml:space="preserve">Naidu, T., Sliep, Y., &amp;Dageid, W. (2012). The social construction of identity in HIV/AIDS home-based care volunteers in rural KwaZulu-Natal, South Africa. </w:t>
      </w:r>
      <w:r w:rsidRPr="0069504E">
        <w:rPr>
          <w:rFonts w:cs="Segoe UI"/>
          <w:i/>
          <w:iCs/>
          <w:lang w:bidi="ne-NP"/>
        </w:rPr>
        <w:t>SAHARA-J: Journal of Social Aspects of HIV/AIDS, 9</w:t>
      </w:r>
      <w:r w:rsidRPr="0069504E">
        <w:rPr>
          <w:rFonts w:cs="Segoe UI"/>
          <w:lang w:bidi="ne-NP"/>
        </w:rPr>
        <w:t xml:space="preserve">(2), 113-126. doi: 10.1080/17290376.2012.683585 </w:t>
      </w:r>
    </w:p>
    <w:p w:rsidR="003B2E6A" w:rsidRPr="0069504E" w:rsidRDefault="003B2E6A" w:rsidP="003B2E6A">
      <w:pPr>
        <w:pStyle w:val="ListParagraph"/>
        <w:numPr>
          <w:ilvl w:val="0"/>
          <w:numId w:val="4"/>
        </w:numPr>
        <w:autoSpaceDE w:val="0"/>
        <w:autoSpaceDN w:val="0"/>
        <w:adjustRightInd w:val="0"/>
        <w:spacing w:after="0" w:line="240" w:lineRule="auto"/>
        <w:rPr>
          <w:rFonts w:cs="Segoe UI"/>
          <w:lang w:bidi="ne-NP"/>
        </w:rPr>
      </w:pPr>
      <w:r w:rsidRPr="0069504E">
        <w:rPr>
          <w:rFonts w:cs="Segoe UI"/>
          <w:lang w:bidi="ne-NP"/>
        </w:rPr>
        <w:t xml:space="preserve">Naidu, T., &amp;Sliep, Y. (2012). Understanding the agency of home-based care volunteers: establishing identity and negotiating space in AIDS-home-based care in rural KwaZulu-Natal, South Africa. </w:t>
      </w:r>
      <w:r w:rsidRPr="0069504E">
        <w:rPr>
          <w:rFonts w:cs="Segoe UI"/>
          <w:i/>
          <w:iCs/>
          <w:lang w:bidi="ne-NP"/>
        </w:rPr>
        <w:t>African Journal of AIDS Research, 11</w:t>
      </w:r>
      <w:r w:rsidRPr="0069504E">
        <w:rPr>
          <w:rFonts w:cs="Segoe UI"/>
          <w:lang w:bidi="ne-NP"/>
        </w:rPr>
        <w:t xml:space="preserve">(2), 143-152. doi: 10.2989/16085906.2012.698082 </w:t>
      </w:r>
    </w:p>
    <w:p w:rsidR="006B68DF" w:rsidRPr="0069504E" w:rsidRDefault="003B2E6A" w:rsidP="003B2E6A">
      <w:pPr>
        <w:autoSpaceDE w:val="0"/>
        <w:autoSpaceDN w:val="0"/>
        <w:adjustRightInd w:val="0"/>
        <w:spacing w:after="0" w:line="240" w:lineRule="auto"/>
        <w:rPr>
          <w:rFonts w:cs="Segoe UI"/>
          <w:lang w:bidi="ne-NP"/>
        </w:rPr>
      </w:pPr>
      <w:r w:rsidRPr="0069504E">
        <w:rPr>
          <w:rFonts w:cs="Segoe UI"/>
          <w:lang w:bidi="ne-NP"/>
        </w:rPr>
        <w:t xml:space="preserve">Suggested </w:t>
      </w:r>
      <w:r w:rsidRPr="0069504E">
        <w:rPr>
          <w:rFonts w:cs="Segoe UI"/>
          <w:i/>
          <w:iCs/>
          <w:lang w:bidi="ne-NP"/>
        </w:rPr>
        <w:t xml:space="preserve">optional </w:t>
      </w:r>
      <w:r w:rsidRPr="0069504E">
        <w:rPr>
          <w:rFonts w:cs="Segoe UI"/>
          <w:lang w:bidi="ne-NP"/>
        </w:rPr>
        <w:t>reading</w:t>
      </w:r>
    </w:p>
    <w:p w:rsidR="003B2E6A" w:rsidRPr="0069504E" w:rsidRDefault="003B2E6A" w:rsidP="003B2E6A">
      <w:pPr>
        <w:pStyle w:val="ListParagraph"/>
        <w:numPr>
          <w:ilvl w:val="0"/>
          <w:numId w:val="4"/>
        </w:numPr>
        <w:autoSpaceDE w:val="0"/>
        <w:autoSpaceDN w:val="0"/>
        <w:adjustRightInd w:val="0"/>
        <w:spacing w:after="0" w:line="240" w:lineRule="auto"/>
        <w:rPr>
          <w:rFonts w:cs="Segoe UI"/>
          <w:lang w:bidi="ne-NP"/>
        </w:rPr>
      </w:pPr>
      <w:r w:rsidRPr="0069504E">
        <w:rPr>
          <w:rFonts w:cs="Segoe UI"/>
          <w:lang w:bidi="ne-NP"/>
        </w:rPr>
        <w:t xml:space="preserve">Upadhaya, N., Luitel, N. P., Koirala, S., Adhikari, R. P., Gurung, D., Shrestha, P., </w:t>
      </w:r>
      <w:r w:rsidR="0073257D" w:rsidRPr="0069504E">
        <w:rPr>
          <w:rFonts w:cs="Segoe UI"/>
          <w:lang w:bidi="ne-NP"/>
        </w:rPr>
        <w:t xml:space="preserve">Tol, W.A., Kohrt, B.A., </w:t>
      </w:r>
      <w:r w:rsidRPr="0069504E">
        <w:rPr>
          <w:rFonts w:cs="Segoe UI"/>
          <w:lang w:bidi="ne-NP"/>
        </w:rPr>
        <w:t xml:space="preserve">Jordans, M. J. D. (2014). The role of mental health and psychosocial support nongovernmental organizations: Reflections from post-conflict Nepal. </w:t>
      </w:r>
      <w:r w:rsidRPr="0069504E">
        <w:rPr>
          <w:rFonts w:cs="Segoe UI"/>
          <w:i/>
          <w:iCs/>
          <w:lang w:bidi="ne-NP"/>
        </w:rPr>
        <w:t>Intervention: International Journal of Mental Health, Psychosocial Work &amp; Counselling in Areas of Armed Conflict, 12</w:t>
      </w:r>
      <w:r w:rsidRPr="0069504E">
        <w:rPr>
          <w:rFonts w:cs="Segoe UI"/>
          <w:lang w:bidi="ne-NP"/>
        </w:rPr>
        <w:t xml:space="preserve">(Supplement 1), 113-128. </w:t>
      </w:r>
    </w:p>
    <w:p w:rsidR="003B2E6A" w:rsidRPr="0069504E" w:rsidRDefault="003B2E6A" w:rsidP="003B2E6A">
      <w:pPr>
        <w:autoSpaceDE w:val="0"/>
        <w:autoSpaceDN w:val="0"/>
        <w:adjustRightInd w:val="0"/>
        <w:spacing w:after="0" w:line="240" w:lineRule="auto"/>
        <w:rPr>
          <w:rFonts w:cs="Segoe UI"/>
          <w:lang w:bidi="ne-NP"/>
        </w:rPr>
      </w:pPr>
    </w:p>
    <w:p w:rsidR="00A11F05" w:rsidRPr="0069504E" w:rsidRDefault="00A11F05" w:rsidP="00A11F05">
      <w:pPr>
        <w:spacing w:after="0" w:line="240" w:lineRule="auto"/>
      </w:pPr>
      <w:r w:rsidRPr="0069504E">
        <w:t>Wee</w:t>
      </w:r>
      <w:r w:rsidR="007B2E66" w:rsidRPr="0069504E">
        <w:t xml:space="preserve">k 10 – October </w:t>
      </w:r>
      <w:r w:rsidR="00151144" w:rsidRPr="0069504E">
        <w:t>29</w:t>
      </w:r>
    </w:p>
    <w:p w:rsidR="00151144" w:rsidRPr="0069504E" w:rsidRDefault="00151144" w:rsidP="00151144">
      <w:pPr>
        <w:spacing w:after="0" w:line="240" w:lineRule="auto"/>
      </w:pPr>
      <w:r w:rsidRPr="0069504E">
        <w:t>CULTURAL ADAPTATION OF INTERVENTIONS &amp; TRAINING</w:t>
      </w:r>
      <w:r w:rsidR="0069504E" w:rsidRPr="0069504E">
        <w:t xml:space="preserve"> [Student Presenters: Hawa &amp; Tatenda]</w:t>
      </w:r>
    </w:p>
    <w:p w:rsidR="00151144" w:rsidRPr="0069504E" w:rsidRDefault="00151144" w:rsidP="00151144">
      <w:pPr>
        <w:spacing w:after="0" w:line="240" w:lineRule="auto"/>
      </w:pPr>
      <w:r w:rsidRPr="0069504E">
        <w:t xml:space="preserve">Readings: </w:t>
      </w:r>
    </w:p>
    <w:p w:rsidR="002A76D9" w:rsidRPr="0069504E" w:rsidRDefault="002A76D9" w:rsidP="002A76D9">
      <w:pPr>
        <w:pStyle w:val="ListParagraph"/>
        <w:numPr>
          <w:ilvl w:val="0"/>
          <w:numId w:val="2"/>
        </w:numPr>
        <w:autoSpaceDE w:val="0"/>
        <w:autoSpaceDN w:val="0"/>
        <w:adjustRightInd w:val="0"/>
        <w:spacing w:after="0" w:line="240" w:lineRule="auto"/>
        <w:rPr>
          <w:rFonts w:cs="Segoe UI"/>
          <w:lang w:bidi="ne-NP"/>
        </w:rPr>
      </w:pPr>
      <w:r w:rsidRPr="0069504E">
        <w:rPr>
          <w:rFonts w:cs="Segoe UI"/>
          <w:lang w:bidi="ne-NP"/>
        </w:rPr>
        <w:t xml:space="preserve">Patel et al </w:t>
      </w:r>
      <w:r w:rsidRPr="0069504E">
        <w:rPr>
          <w:rFonts w:cs="Segoe UI"/>
          <w:i/>
          <w:iCs/>
          <w:lang w:bidi="ne-NP"/>
        </w:rPr>
        <w:t xml:space="preserve">Global Mental Health </w:t>
      </w:r>
      <w:r w:rsidRPr="0069504E">
        <w:rPr>
          <w:rFonts w:cs="Segoe UI"/>
          <w:lang w:bidi="ne-NP"/>
        </w:rPr>
        <w:t>Chapter 12 – “Interventions for mental disorders”</w:t>
      </w:r>
    </w:p>
    <w:p w:rsidR="004A4FE6" w:rsidRPr="0069504E" w:rsidRDefault="004A4FE6" w:rsidP="004A4FE6">
      <w:pPr>
        <w:pStyle w:val="ListParagraph"/>
        <w:numPr>
          <w:ilvl w:val="0"/>
          <w:numId w:val="2"/>
        </w:numPr>
        <w:autoSpaceDE w:val="0"/>
        <w:autoSpaceDN w:val="0"/>
        <w:adjustRightInd w:val="0"/>
        <w:spacing w:after="0" w:line="240" w:lineRule="auto"/>
        <w:rPr>
          <w:rFonts w:cs="Segoe UI"/>
          <w:lang w:bidi="ne-NP"/>
        </w:rPr>
      </w:pPr>
      <w:r w:rsidRPr="0069504E">
        <w:rPr>
          <w:rFonts w:cs="Segoe UI"/>
          <w:lang w:bidi="ne-NP"/>
        </w:rPr>
        <w:t xml:space="preserve">Bernal, G., Jiménez-Chafey, M. I., &amp;Domenech Rodríguez, M. M. (2009). Cultural adaptation of treatments: A resource for considering culture in evidence-based practice. </w:t>
      </w:r>
      <w:r w:rsidRPr="0069504E">
        <w:rPr>
          <w:rFonts w:cs="Segoe UI"/>
          <w:i/>
          <w:iCs/>
          <w:lang w:bidi="ne-NP"/>
        </w:rPr>
        <w:t>Professional Psychology: Research and Practice</w:t>
      </w:r>
      <w:r w:rsidRPr="0069504E">
        <w:rPr>
          <w:rFonts w:cs="Segoe UI"/>
          <w:lang w:bidi="ne-NP"/>
        </w:rPr>
        <w:t>, 40(4), 361.</w:t>
      </w:r>
    </w:p>
    <w:p w:rsidR="004A4FE6" w:rsidRPr="0069504E" w:rsidRDefault="004A4FE6" w:rsidP="004A4FE6">
      <w:pPr>
        <w:pStyle w:val="ListParagraph"/>
        <w:numPr>
          <w:ilvl w:val="0"/>
          <w:numId w:val="2"/>
        </w:numPr>
        <w:autoSpaceDE w:val="0"/>
        <w:autoSpaceDN w:val="0"/>
        <w:adjustRightInd w:val="0"/>
        <w:spacing w:after="0" w:line="240" w:lineRule="auto"/>
        <w:rPr>
          <w:rFonts w:cs="Segoe UI"/>
          <w:lang w:bidi="ne-NP"/>
        </w:rPr>
      </w:pPr>
      <w:r w:rsidRPr="0069504E">
        <w:rPr>
          <w:rFonts w:cs="Segoe UI"/>
          <w:lang w:bidi="ne-NP"/>
        </w:rPr>
        <w:t xml:space="preserve">Wainberg, M., McKinnon, K., Mattos, P., Pinto, D., Mann, C., de Oliveira, C., . . .Cournos, F. (2007). A Model for Adapting Evidence-based Behavioral Interventions to a New Culture: HIV Prevention for Psychiatric Patients in Rio de Janeiro, Brazil. </w:t>
      </w:r>
      <w:r w:rsidRPr="0069504E">
        <w:rPr>
          <w:rFonts w:cs="Segoe UI"/>
          <w:i/>
          <w:iCs/>
          <w:lang w:bidi="ne-NP"/>
        </w:rPr>
        <w:t>AIDS and Behavior</w:t>
      </w:r>
      <w:r w:rsidRPr="0069504E">
        <w:rPr>
          <w:rFonts w:cs="Segoe UI"/>
          <w:lang w:bidi="ne-NP"/>
        </w:rPr>
        <w:t>, 11(6), 872-883. doi: 10.1007/s10461-006-9181-8</w:t>
      </w:r>
    </w:p>
    <w:p w:rsidR="005E7702" w:rsidRPr="0069504E" w:rsidRDefault="005E7702" w:rsidP="005E7702">
      <w:pPr>
        <w:pStyle w:val="ListParagraph"/>
        <w:numPr>
          <w:ilvl w:val="0"/>
          <w:numId w:val="2"/>
        </w:numPr>
        <w:autoSpaceDE w:val="0"/>
        <w:autoSpaceDN w:val="0"/>
        <w:adjustRightInd w:val="0"/>
        <w:spacing w:after="0" w:line="240" w:lineRule="auto"/>
        <w:rPr>
          <w:rFonts w:cs="Segoe UI"/>
          <w:lang w:bidi="ne-NP"/>
        </w:rPr>
      </w:pPr>
      <w:r w:rsidRPr="0069504E">
        <w:rPr>
          <w:rFonts w:cs="Segoe UI"/>
          <w:lang w:bidi="ne-NP"/>
        </w:rPr>
        <w:t xml:space="preserve">Kohrt &amp; Mendenhall </w:t>
      </w:r>
      <w:r w:rsidRPr="0069504E">
        <w:rPr>
          <w:rFonts w:cs="Segoe UI"/>
          <w:i/>
          <w:iCs/>
          <w:lang w:bidi="ne-NP"/>
        </w:rPr>
        <w:t xml:space="preserve">Global Mental Health: Anthropological Perspectives </w:t>
      </w:r>
      <w:r w:rsidRPr="0069504E">
        <w:rPr>
          <w:rFonts w:cs="Segoe UI"/>
          <w:lang w:bidi="ne-NP"/>
        </w:rPr>
        <w:t>Chapter 16 – “Thinking too much”</w:t>
      </w:r>
    </w:p>
    <w:p w:rsidR="00903563" w:rsidRPr="0069504E" w:rsidRDefault="00903563" w:rsidP="00151144">
      <w:pPr>
        <w:pStyle w:val="ListParagraph"/>
        <w:numPr>
          <w:ilvl w:val="0"/>
          <w:numId w:val="2"/>
        </w:numPr>
        <w:autoSpaceDE w:val="0"/>
        <w:autoSpaceDN w:val="0"/>
        <w:adjustRightInd w:val="0"/>
        <w:spacing w:after="0" w:line="240" w:lineRule="auto"/>
        <w:rPr>
          <w:rFonts w:cs="Segoe UI"/>
          <w:lang w:bidi="ne-NP"/>
        </w:rPr>
      </w:pPr>
      <w:r w:rsidRPr="0069504E">
        <w:rPr>
          <w:rFonts w:cs="Segoe UI"/>
          <w:lang w:bidi="ne-NP"/>
        </w:rPr>
        <w:lastRenderedPageBreak/>
        <w:t xml:space="preserve">Kohrt &amp; Mendenhall </w:t>
      </w:r>
      <w:r w:rsidRPr="0069504E">
        <w:rPr>
          <w:rFonts w:cs="Segoe UI"/>
          <w:i/>
          <w:iCs/>
          <w:lang w:bidi="ne-NP"/>
        </w:rPr>
        <w:t xml:space="preserve">Global Mental Health: Anthropological Perspectives </w:t>
      </w:r>
      <w:r w:rsidRPr="0069504E">
        <w:rPr>
          <w:rFonts w:cs="Segoe UI"/>
          <w:lang w:bidi="ne-NP"/>
        </w:rPr>
        <w:t>Chapter 10 – “Festive fighting”</w:t>
      </w:r>
    </w:p>
    <w:p w:rsidR="00A11F05" w:rsidRPr="0069504E" w:rsidRDefault="00A11F05" w:rsidP="00A11F05">
      <w:pPr>
        <w:spacing w:after="0" w:line="240" w:lineRule="auto"/>
      </w:pPr>
    </w:p>
    <w:p w:rsidR="00A11F05" w:rsidRPr="0069504E" w:rsidRDefault="007B2E66" w:rsidP="00A11F05">
      <w:pPr>
        <w:spacing w:after="0" w:line="240" w:lineRule="auto"/>
      </w:pPr>
      <w:r w:rsidRPr="0069504E">
        <w:t xml:space="preserve">Week 11 – November </w:t>
      </w:r>
      <w:r w:rsidR="00151144" w:rsidRPr="0069504E">
        <w:t>5</w:t>
      </w:r>
    </w:p>
    <w:p w:rsidR="00151144" w:rsidRPr="0069504E" w:rsidRDefault="00151144" w:rsidP="00151144">
      <w:pPr>
        <w:spacing w:after="0" w:line="240" w:lineRule="auto"/>
      </w:pPr>
      <w:r w:rsidRPr="0069504E">
        <w:t>MENTAL HEALTH &amp; CULTURE IN HUMANITARIAN SETTINGS</w:t>
      </w:r>
      <w:r w:rsidR="0069504E" w:rsidRPr="0069504E">
        <w:t xml:space="preserve"> [Shannon &amp; Chandler]</w:t>
      </w:r>
    </w:p>
    <w:p w:rsidR="00151144" w:rsidRPr="0069504E" w:rsidRDefault="00151144" w:rsidP="0029464D">
      <w:pPr>
        <w:tabs>
          <w:tab w:val="left" w:pos="1440"/>
        </w:tabs>
        <w:spacing w:after="0" w:line="240" w:lineRule="auto"/>
      </w:pPr>
      <w:r w:rsidRPr="0069504E">
        <w:t xml:space="preserve">Readings: </w:t>
      </w:r>
      <w:r w:rsidR="0029464D" w:rsidRPr="0069504E">
        <w:tab/>
      </w:r>
    </w:p>
    <w:p w:rsidR="002A76D9" w:rsidRPr="0069504E" w:rsidRDefault="002A76D9" w:rsidP="002A76D9">
      <w:pPr>
        <w:pStyle w:val="ListParagraph"/>
        <w:numPr>
          <w:ilvl w:val="0"/>
          <w:numId w:val="14"/>
        </w:numPr>
        <w:autoSpaceDE w:val="0"/>
        <w:autoSpaceDN w:val="0"/>
        <w:adjustRightInd w:val="0"/>
        <w:spacing w:after="0" w:line="240" w:lineRule="auto"/>
        <w:rPr>
          <w:rFonts w:cs="Segoe UI"/>
          <w:lang w:bidi="ne-NP"/>
        </w:rPr>
      </w:pPr>
      <w:r w:rsidRPr="0069504E">
        <w:rPr>
          <w:rFonts w:cs="Segoe UI"/>
          <w:lang w:bidi="ne-NP"/>
        </w:rPr>
        <w:t xml:space="preserve">Patel et al </w:t>
      </w:r>
      <w:r w:rsidRPr="0069504E">
        <w:rPr>
          <w:rFonts w:cs="Segoe UI"/>
          <w:i/>
          <w:iCs/>
          <w:lang w:bidi="ne-NP"/>
        </w:rPr>
        <w:t xml:space="preserve">Global Mental Health </w:t>
      </w:r>
      <w:r w:rsidRPr="0069504E">
        <w:rPr>
          <w:rFonts w:cs="Segoe UI"/>
          <w:lang w:bidi="ne-NP"/>
        </w:rPr>
        <w:t>Chapter 17 – “Mental health and psychosocial support in humanitarian settings”</w:t>
      </w:r>
    </w:p>
    <w:p w:rsidR="00151144" w:rsidRPr="0069504E" w:rsidRDefault="00151144" w:rsidP="00151144">
      <w:pPr>
        <w:pStyle w:val="ListParagraph"/>
        <w:numPr>
          <w:ilvl w:val="0"/>
          <w:numId w:val="14"/>
        </w:numPr>
        <w:autoSpaceDE w:val="0"/>
        <w:autoSpaceDN w:val="0"/>
        <w:adjustRightInd w:val="0"/>
        <w:spacing w:after="0" w:line="240" w:lineRule="auto"/>
        <w:rPr>
          <w:rFonts w:cs="Segoe UI"/>
          <w:lang w:bidi="ne-NP"/>
        </w:rPr>
      </w:pPr>
      <w:r w:rsidRPr="0069504E">
        <w:rPr>
          <w:rFonts w:cs="Segoe UI"/>
          <w:lang w:bidi="ne-NP"/>
        </w:rPr>
        <w:t xml:space="preserve">Summerfield, D.A. (1999) A critique of seven assumptions behind psychological trauma programmes in war-affected areas. </w:t>
      </w:r>
      <w:r w:rsidRPr="0069504E">
        <w:rPr>
          <w:rFonts w:cs="Segoe UI"/>
          <w:i/>
          <w:iCs/>
          <w:lang w:bidi="ne-NP"/>
        </w:rPr>
        <w:t xml:space="preserve">Social Science &amp; Medicine, </w:t>
      </w:r>
      <w:r w:rsidRPr="0069504E">
        <w:rPr>
          <w:rFonts w:cs="Segoe UI"/>
          <w:lang w:bidi="ne-NP"/>
        </w:rPr>
        <w:t>48(10), pp. 1449-1462.</w:t>
      </w:r>
    </w:p>
    <w:p w:rsidR="00151144" w:rsidRPr="0069504E" w:rsidRDefault="00151144" w:rsidP="00151144">
      <w:pPr>
        <w:pStyle w:val="ListParagraph"/>
        <w:numPr>
          <w:ilvl w:val="0"/>
          <w:numId w:val="14"/>
        </w:numPr>
        <w:autoSpaceDE w:val="0"/>
        <w:autoSpaceDN w:val="0"/>
        <w:adjustRightInd w:val="0"/>
        <w:spacing w:after="0" w:line="240" w:lineRule="auto"/>
        <w:rPr>
          <w:rFonts w:cs="Segoe UI"/>
          <w:lang w:bidi="ne-NP"/>
        </w:rPr>
      </w:pPr>
      <w:r w:rsidRPr="0069504E">
        <w:rPr>
          <w:rFonts w:cs="Segoe UI"/>
          <w:lang w:bidi="ne-NP"/>
        </w:rPr>
        <w:t>Dyregrov, A., Gupta, L., Gjestad, R., &amp;Raundalen, M. (2002). Is the culture always right?</w:t>
      </w:r>
      <w:r w:rsidRPr="0069504E">
        <w:rPr>
          <w:rFonts w:cs="Segoe UI"/>
          <w:i/>
          <w:iCs/>
          <w:lang w:bidi="ne-NP"/>
        </w:rPr>
        <w:t>Traumatology, 8</w:t>
      </w:r>
      <w:r w:rsidRPr="0069504E">
        <w:rPr>
          <w:rFonts w:cs="Segoe UI"/>
          <w:lang w:bidi="ne-NP"/>
        </w:rPr>
        <w:t>(3), 135-145.</w:t>
      </w:r>
    </w:p>
    <w:p w:rsidR="00151144" w:rsidRPr="0069504E" w:rsidRDefault="00151144" w:rsidP="00151144">
      <w:pPr>
        <w:pStyle w:val="ListParagraph"/>
        <w:numPr>
          <w:ilvl w:val="0"/>
          <w:numId w:val="14"/>
        </w:numPr>
        <w:autoSpaceDE w:val="0"/>
        <w:autoSpaceDN w:val="0"/>
        <w:adjustRightInd w:val="0"/>
        <w:spacing w:after="0" w:line="240" w:lineRule="auto"/>
        <w:rPr>
          <w:rFonts w:cs="Segoe UI"/>
          <w:lang w:bidi="ne-NP"/>
        </w:rPr>
      </w:pPr>
      <w:r w:rsidRPr="0069504E">
        <w:rPr>
          <w:rFonts w:cs="Segoe UI"/>
          <w:lang w:bidi="ne-NP"/>
        </w:rPr>
        <w:t xml:space="preserve">Kohrt, B. A., &amp; Hruschka, D. J. (2010). Nepali concepts of psychological trauma: the role of idioms of distress, ethnopsychology and ethnophysiology in alleviating suffering and preventing stigma. </w:t>
      </w:r>
      <w:r w:rsidRPr="0069504E">
        <w:rPr>
          <w:rFonts w:cs="Segoe UI"/>
          <w:i/>
          <w:iCs/>
          <w:lang w:bidi="ne-NP"/>
        </w:rPr>
        <w:t>Culture, Medicine &amp; Psychiatry, 34</w:t>
      </w:r>
      <w:r w:rsidRPr="0069504E">
        <w:rPr>
          <w:rFonts w:cs="Segoe UI"/>
          <w:lang w:bidi="ne-NP"/>
        </w:rPr>
        <w:t>(2), 322-352.</w:t>
      </w:r>
    </w:p>
    <w:p w:rsidR="0073257D" w:rsidRPr="0069504E" w:rsidRDefault="0073257D" w:rsidP="0069504E">
      <w:pPr>
        <w:autoSpaceDE w:val="0"/>
        <w:autoSpaceDN w:val="0"/>
        <w:adjustRightInd w:val="0"/>
        <w:spacing w:after="0" w:line="240" w:lineRule="auto"/>
        <w:rPr>
          <w:rFonts w:cs="Segoe UI"/>
          <w:lang w:bidi="ne-NP"/>
        </w:rPr>
      </w:pPr>
      <w:r w:rsidRPr="0069504E">
        <w:rPr>
          <w:rFonts w:cs="Segoe UI"/>
          <w:lang w:bidi="ne-NP"/>
        </w:rPr>
        <w:t xml:space="preserve">Suggested </w:t>
      </w:r>
      <w:r w:rsidRPr="0069504E">
        <w:rPr>
          <w:rFonts w:cs="Segoe UI"/>
          <w:i/>
          <w:iCs/>
          <w:lang w:bidi="ne-NP"/>
        </w:rPr>
        <w:t>Optional</w:t>
      </w:r>
      <w:r w:rsidRPr="0069504E">
        <w:rPr>
          <w:rFonts w:cs="Segoe UI"/>
          <w:lang w:bidi="ne-NP"/>
        </w:rPr>
        <w:t xml:space="preserve"> Reading</w:t>
      </w:r>
    </w:p>
    <w:p w:rsidR="0073257D" w:rsidRPr="0069504E" w:rsidRDefault="0073257D" w:rsidP="0069504E">
      <w:pPr>
        <w:pStyle w:val="ListParagraph"/>
        <w:numPr>
          <w:ilvl w:val="0"/>
          <w:numId w:val="22"/>
        </w:numPr>
        <w:autoSpaceDE w:val="0"/>
        <w:autoSpaceDN w:val="0"/>
        <w:adjustRightInd w:val="0"/>
        <w:spacing w:after="0" w:line="240" w:lineRule="auto"/>
        <w:rPr>
          <w:rFonts w:cs="Segoe UI"/>
          <w:lang w:bidi="ne-NP"/>
        </w:rPr>
      </w:pPr>
      <w:r w:rsidRPr="0069504E">
        <w:rPr>
          <w:rFonts w:cs="Segoe UI"/>
          <w:lang w:bidi="ne-NP"/>
        </w:rPr>
        <w:t xml:space="preserve">Kohrt, B. A., Jordans, M. J. D., Koirala, S., &amp; Worthman, C. M. (2015). Designing mental health interventions informed by child development and human biology theory: A social ecology intervention for child soldiers in Nepal. </w:t>
      </w:r>
      <w:r w:rsidRPr="0069504E">
        <w:rPr>
          <w:rFonts w:cs="Segoe UI"/>
          <w:i/>
          <w:iCs/>
          <w:lang w:bidi="ne-NP"/>
        </w:rPr>
        <w:t>American Journal of Human Biology, 27</w:t>
      </w:r>
      <w:r w:rsidRPr="0069504E">
        <w:rPr>
          <w:rFonts w:cs="Segoe UI"/>
          <w:lang w:bidi="ne-NP"/>
        </w:rPr>
        <w:t>(1), 27-40. doi: 10.1002/ajhb.22651</w:t>
      </w:r>
    </w:p>
    <w:p w:rsidR="006019E5" w:rsidRPr="0069504E" w:rsidRDefault="006019E5" w:rsidP="00A11F05">
      <w:pPr>
        <w:spacing w:after="0" w:line="240" w:lineRule="auto"/>
      </w:pPr>
    </w:p>
    <w:p w:rsidR="00A11F05" w:rsidRPr="0069504E" w:rsidRDefault="007B2E66" w:rsidP="00A11F05">
      <w:pPr>
        <w:spacing w:after="0" w:line="240" w:lineRule="auto"/>
      </w:pPr>
      <w:r w:rsidRPr="0069504E">
        <w:t>Week 12 – November 1</w:t>
      </w:r>
      <w:r w:rsidR="00151144" w:rsidRPr="0069504E">
        <w:t>2</w:t>
      </w:r>
    </w:p>
    <w:p w:rsidR="00151144" w:rsidRPr="0069504E" w:rsidRDefault="00151144" w:rsidP="00151144">
      <w:pPr>
        <w:spacing w:after="0" w:line="240" w:lineRule="auto"/>
      </w:pPr>
      <w:r w:rsidRPr="0069504E">
        <w:t>CHILD &amp; ADOLESCENT MENTAL HEALTH</w:t>
      </w:r>
      <w:r w:rsidR="0073257D" w:rsidRPr="0069504E">
        <w:t>: MENTAL HEALTH PROMOTION</w:t>
      </w:r>
      <w:r w:rsidR="0069504E" w:rsidRPr="0069504E">
        <w:t xml:space="preserve"> [Shewa and Alyssa]</w:t>
      </w:r>
    </w:p>
    <w:p w:rsidR="00151144" w:rsidRPr="0069504E" w:rsidRDefault="00151144" w:rsidP="0029464D">
      <w:pPr>
        <w:tabs>
          <w:tab w:val="left" w:pos="4226"/>
        </w:tabs>
        <w:spacing w:after="0" w:line="240" w:lineRule="auto"/>
      </w:pPr>
      <w:r w:rsidRPr="0069504E">
        <w:t xml:space="preserve">Readings: </w:t>
      </w:r>
      <w:r w:rsidR="0029464D" w:rsidRPr="0069504E">
        <w:tab/>
      </w:r>
    </w:p>
    <w:p w:rsidR="00B032D0" w:rsidRPr="0069504E" w:rsidRDefault="00B032D0" w:rsidP="00B032D0">
      <w:pPr>
        <w:pStyle w:val="ListParagraph"/>
        <w:numPr>
          <w:ilvl w:val="0"/>
          <w:numId w:val="5"/>
        </w:numPr>
        <w:autoSpaceDE w:val="0"/>
        <w:autoSpaceDN w:val="0"/>
        <w:adjustRightInd w:val="0"/>
        <w:spacing w:after="0" w:line="240" w:lineRule="auto"/>
        <w:rPr>
          <w:rFonts w:cs="Segoe UI"/>
          <w:lang w:bidi="ne-NP"/>
        </w:rPr>
      </w:pPr>
      <w:r w:rsidRPr="0069504E">
        <w:rPr>
          <w:rFonts w:cs="Segoe UI"/>
          <w:lang w:bidi="ne-NP"/>
        </w:rPr>
        <w:t xml:space="preserve">Tol, W. A. (2015). Stemming the tide: promoting mental health and preventing mental disorders in low- and middle-income countries. </w:t>
      </w:r>
      <w:r w:rsidRPr="0069504E">
        <w:rPr>
          <w:rFonts w:cs="Segoe UI"/>
          <w:i/>
          <w:iCs/>
          <w:lang w:bidi="ne-NP"/>
        </w:rPr>
        <w:t>Global Mental Health, 2</w:t>
      </w:r>
      <w:r w:rsidRPr="0069504E">
        <w:rPr>
          <w:rFonts w:cs="Segoe UI"/>
          <w:lang w:bidi="ne-NP"/>
        </w:rPr>
        <w:t>. doi: doi:10.1017/gmh.2015.9</w:t>
      </w:r>
    </w:p>
    <w:p w:rsidR="00903563" w:rsidRPr="0069504E" w:rsidRDefault="00903563" w:rsidP="00903563">
      <w:pPr>
        <w:pStyle w:val="ListParagraph"/>
        <w:numPr>
          <w:ilvl w:val="0"/>
          <w:numId w:val="5"/>
        </w:numPr>
        <w:autoSpaceDE w:val="0"/>
        <w:autoSpaceDN w:val="0"/>
        <w:adjustRightInd w:val="0"/>
        <w:spacing w:after="0" w:line="240" w:lineRule="auto"/>
        <w:rPr>
          <w:rFonts w:cs="Segoe UI"/>
          <w:lang w:bidi="ne-NP"/>
        </w:rPr>
      </w:pPr>
      <w:r w:rsidRPr="0069504E">
        <w:rPr>
          <w:rFonts w:cs="Segoe UI"/>
          <w:lang w:bidi="ne-NP"/>
        </w:rPr>
        <w:t xml:space="preserve">Jordans, M.J.D., Tol, W.A., &amp;Komproe, I.H. (2011) Mental health interventions for children in adversity: pilot-testing a research strategy for treatment selection in low-income settings. </w:t>
      </w:r>
      <w:r w:rsidRPr="0069504E">
        <w:rPr>
          <w:rFonts w:cs="Segoe UI"/>
          <w:i/>
          <w:iCs/>
          <w:lang w:bidi="ne-NP"/>
        </w:rPr>
        <w:t xml:space="preserve">Social Science &amp; Medicine, </w:t>
      </w:r>
      <w:r w:rsidRPr="0069504E">
        <w:rPr>
          <w:rFonts w:cs="Segoe UI"/>
          <w:lang w:bidi="ne-NP"/>
        </w:rPr>
        <w:t>73(3), pp. 456-466.</w:t>
      </w:r>
    </w:p>
    <w:p w:rsidR="005E7702" w:rsidRPr="0069504E" w:rsidRDefault="005E7702" w:rsidP="005E7702">
      <w:pPr>
        <w:pStyle w:val="ListParagraph"/>
        <w:numPr>
          <w:ilvl w:val="0"/>
          <w:numId w:val="5"/>
        </w:numPr>
        <w:autoSpaceDE w:val="0"/>
        <w:autoSpaceDN w:val="0"/>
        <w:adjustRightInd w:val="0"/>
        <w:spacing w:after="0" w:line="240" w:lineRule="auto"/>
        <w:rPr>
          <w:rFonts w:cs="Segoe UI"/>
          <w:lang w:bidi="ne-NP"/>
        </w:rPr>
      </w:pPr>
      <w:r w:rsidRPr="0069504E">
        <w:rPr>
          <w:rFonts w:cs="Segoe UI"/>
          <w:lang w:bidi="ne-NP"/>
        </w:rPr>
        <w:t xml:space="preserve">Kohrt &amp; Mendenhall </w:t>
      </w:r>
      <w:r w:rsidRPr="0069504E">
        <w:rPr>
          <w:rFonts w:cs="Segoe UI"/>
          <w:i/>
          <w:iCs/>
          <w:lang w:bidi="ne-NP"/>
        </w:rPr>
        <w:t xml:space="preserve">Global Mental Health: Anthropological Perspectives </w:t>
      </w:r>
      <w:r w:rsidRPr="0069504E">
        <w:rPr>
          <w:rFonts w:cs="Segoe UI"/>
          <w:lang w:bidi="ne-NP"/>
        </w:rPr>
        <w:t>Chapter 7 – “Grandmothers, children, and intergenerational distress”</w:t>
      </w:r>
    </w:p>
    <w:p w:rsidR="00903563" w:rsidRPr="0069504E" w:rsidRDefault="00903563" w:rsidP="00903563">
      <w:pPr>
        <w:pStyle w:val="ListParagraph"/>
        <w:numPr>
          <w:ilvl w:val="0"/>
          <w:numId w:val="5"/>
        </w:numPr>
        <w:autoSpaceDE w:val="0"/>
        <w:autoSpaceDN w:val="0"/>
        <w:adjustRightInd w:val="0"/>
        <w:spacing w:after="0" w:line="240" w:lineRule="auto"/>
        <w:rPr>
          <w:rFonts w:cs="Segoe UI"/>
          <w:lang w:bidi="ne-NP"/>
        </w:rPr>
      </w:pPr>
      <w:r w:rsidRPr="0069504E">
        <w:rPr>
          <w:rFonts w:cs="Segoe UI"/>
          <w:lang w:bidi="ne-NP"/>
        </w:rPr>
        <w:t xml:space="preserve">Kohrt &amp; Mendenhall </w:t>
      </w:r>
      <w:r w:rsidRPr="0069504E">
        <w:rPr>
          <w:rFonts w:cs="Segoe UI"/>
          <w:i/>
          <w:iCs/>
          <w:lang w:bidi="ne-NP"/>
        </w:rPr>
        <w:t xml:space="preserve">Global Mental Health: Anthropological Perspectives </w:t>
      </w:r>
      <w:r w:rsidRPr="0069504E">
        <w:rPr>
          <w:rFonts w:cs="Segoe UI"/>
          <w:lang w:bidi="ne-NP"/>
        </w:rPr>
        <w:t>Chapter 6 – “The greater good”</w:t>
      </w:r>
    </w:p>
    <w:p w:rsidR="00506330" w:rsidRPr="0069504E" w:rsidRDefault="00506330" w:rsidP="00A11F05">
      <w:pPr>
        <w:spacing w:after="0" w:line="240" w:lineRule="auto"/>
      </w:pPr>
    </w:p>
    <w:p w:rsidR="00A11F05" w:rsidRPr="0069504E" w:rsidRDefault="007B2E66" w:rsidP="00A11F05">
      <w:pPr>
        <w:spacing w:after="0" w:line="240" w:lineRule="auto"/>
      </w:pPr>
      <w:r w:rsidRPr="0069504E">
        <w:t xml:space="preserve">Week 13 – November </w:t>
      </w:r>
      <w:r w:rsidR="00151144" w:rsidRPr="0069504E">
        <w:t>19</w:t>
      </w:r>
    </w:p>
    <w:p w:rsidR="007B2E66" w:rsidRPr="0069504E" w:rsidRDefault="007B2E66" w:rsidP="007B2E66">
      <w:pPr>
        <w:spacing w:after="0" w:line="240" w:lineRule="auto"/>
      </w:pPr>
      <w:r w:rsidRPr="0069504E">
        <w:t>GROUP PRESENTATIONS</w:t>
      </w:r>
    </w:p>
    <w:p w:rsidR="00A11F05" w:rsidRPr="0069504E" w:rsidRDefault="00A11F05" w:rsidP="00A11F05">
      <w:pPr>
        <w:spacing w:after="0" w:line="240" w:lineRule="auto"/>
      </w:pPr>
    </w:p>
    <w:p w:rsidR="00506330" w:rsidRPr="0069504E" w:rsidRDefault="00506330" w:rsidP="00A11F05">
      <w:pPr>
        <w:spacing w:after="0" w:line="240" w:lineRule="auto"/>
      </w:pPr>
    </w:p>
    <w:p w:rsidR="00506330" w:rsidRPr="0069504E" w:rsidRDefault="00506330" w:rsidP="00506330">
      <w:pPr>
        <w:jc w:val="center"/>
        <w:rPr>
          <w:rFonts w:cstheme="minorHAnsi"/>
        </w:rPr>
      </w:pPr>
      <w:r w:rsidRPr="0069504E">
        <w:rPr>
          <w:rFonts w:cstheme="minorHAnsi"/>
        </w:rPr>
        <w:t>The syllabus is approximate and may change. These changes may include additional readings.</w:t>
      </w:r>
    </w:p>
    <w:p w:rsidR="00506330" w:rsidRPr="0069504E" w:rsidRDefault="00506330" w:rsidP="00A11F05">
      <w:pPr>
        <w:spacing w:after="0" w:line="240" w:lineRule="auto"/>
      </w:pPr>
      <w:bookmarkStart w:id="0" w:name="_GoBack"/>
      <w:bookmarkEnd w:id="0"/>
    </w:p>
    <w:p w:rsidR="00367359" w:rsidRPr="0069504E" w:rsidRDefault="00367359" w:rsidP="00A11F05">
      <w:pPr>
        <w:spacing w:after="0" w:line="240" w:lineRule="auto"/>
      </w:pPr>
    </w:p>
    <w:p w:rsidR="00367359" w:rsidRPr="0069504E" w:rsidRDefault="00367359" w:rsidP="00151144">
      <w:pPr>
        <w:rPr>
          <w:rFonts w:eastAsia="Times New Roman"/>
          <w:i/>
          <w:iCs/>
        </w:rPr>
      </w:pPr>
      <w:r w:rsidRPr="0069504E">
        <w:rPr>
          <w:rFonts w:eastAsia="Times New Roman"/>
          <w:b/>
          <w:bCs/>
          <w:i/>
          <w:iCs/>
        </w:rPr>
        <w:t>Duke Honor Code</w:t>
      </w:r>
      <w:r w:rsidRPr="0069504E">
        <w:rPr>
          <w:rFonts w:eastAsia="Times New Roman"/>
          <w:i/>
          <w:iCs/>
        </w:rPr>
        <w:t> (</w:t>
      </w:r>
      <w:hyperlink r:id="rId12" w:history="1">
        <w:r w:rsidRPr="0069504E">
          <w:rPr>
            <w:rFonts w:eastAsia="Times New Roman"/>
            <w:i/>
            <w:iCs/>
            <w:color w:val="0000FF"/>
            <w:u w:val="single"/>
          </w:rPr>
          <w:t>http://www.integrity.duke.edu/new.html</w:t>
        </w:r>
      </w:hyperlink>
      <w:r w:rsidRPr="0069504E">
        <w:rPr>
          <w:rFonts w:eastAsia="Times New Roman"/>
          <w:i/>
          <w:iCs/>
        </w:rPr>
        <w:t>):</w:t>
      </w:r>
    </w:p>
    <w:p w:rsidR="00367359" w:rsidRPr="0069504E" w:rsidRDefault="00367359" w:rsidP="00367359">
      <w:pPr>
        <w:spacing w:after="0" w:line="240" w:lineRule="auto"/>
        <w:rPr>
          <w:rFonts w:eastAsia="Times New Roman"/>
          <w:i/>
          <w:iCs/>
        </w:rPr>
      </w:pPr>
      <w:r w:rsidRPr="0069504E">
        <w:rPr>
          <w:rFonts w:eastAsia="Times New Roman"/>
          <w:i/>
          <w:iCs/>
        </w:rPr>
        <w:t>Duke University is a community dedicated to scholarship, leadership, and service and to the </w:t>
      </w:r>
    </w:p>
    <w:p w:rsidR="00367359" w:rsidRPr="0069504E" w:rsidRDefault="00367359" w:rsidP="00367359">
      <w:pPr>
        <w:spacing w:after="0" w:line="240" w:lineRule="auto"/>
        <w:rPr>
          <w:rFonts w:eastAsia="Times New Roman"/>
          <w:i/>
          <w:iCs/>
        </w:rPr>
      </w:pPr>
      <w:r w:rsidRPr="0069504E">
        <w:rPr>
          <w:rFonts w:eastAsia="Times New Roman"/>
          <w:i/>
          <w:iCs/>
        </w:rPr>
        <w:t>principles of honesty, fairness, respect, and accountability. Citizens of this community commit to reflect upon and uphold these principles in all academic and non-academic endeavors, and to </w:t>
      </w:r>
    </w:p>
    <w:p w:rsidR="00367359" w:rsidRPr="0069504E" w:rsidRDefault="00367359" w:rsidP="00367359">
      <w:pPr>
        <w:spacing w:after="0" w:line="240" w:lineRule="auto"/>
        <w:rPr>
          <w:rFonts w:eastAsia="Times New Roman"/>
          <w:i/>
          <w:iCs/>
        </w:rPr>
      </w:pPr>
      <w:r w:rsidRPr="0069504E">
        <w:rPr>
          <w:rFonts w:eastAsia="Times New Roman"/>
          <w:i/>
          <w:iCs/>
        </w:rPr>
        <w:t>protect and promote a culture of integrity. To uphold the Duke Community Standard: </w:t>
      </w:r>
    </w:p>
    <w:p w:rsidR="00367359" w:rsidRPr="0069504E" w:rsidRDefault="00367359" w:rsidP="00367359">
      <w:pPr>
        <w:numPr>
          <w:ilvl w:val="1"/>
          <w:numId w:val="11"/>
        </w:numPr>
        <w:spacing w:before="100" w:beforeAutospacing="1" w:after="100" w:afterAutospacing="1" w:line="240" w:lineRule="auto"/>
        <w:rPr>
          <w:rFonts w:eastAsia="Times New Roman"/>
          <w:i/>
          <w:iCs/>
        </w:rPr>
      </w:pPr>
      <w:r w:rsidRPr="0069504E">
        <w:rPr>
          <w:rFonts w:eastAsia="Times New Roman"/>
          <w:i/>
          <w:iCs/>
        </w:rPr>
        <w:t>I will not lie, cheat, or steal in my academic endeavors; </w:t>
      </w:r>
    </w:p>
    <w:p w:rsidR="00367359" w:rsidRPr="0069504E" w:rsidRDefault="00367359" w:rsidP="00367359">
      <w:pPr>
        <w:numPr>
          <w:ilvl w:val="1"/>
          <w:numId w:val="11"/>
        </w:numPr>
        <w:spacing w:before="100" w:beforeAutospacing="1" w:after="100" w:afterAutospacing="1" w:line="240" w:lineRule="auto"/>
        <w:rPr>
          <w:rFonts w:eastAsia="Times New Roman"/>
          <w:i/>
          <w:iCs/>
        </w:rPr>
      </w:pPr>
      <w:r w:rsidRPr="0069504E">
        <w:rPr>
          <w:rFonts w:eastAsia="Times New Roman"/>
          <w:i/>
          <w:iCs/>
        </w:rPr>
        <w:t>I will conduct myself honorably in all my endeavors; and </w:t>
      </w:r>
    </w:p>
    <w:p w:rsidR="00367359" w:rsidRPr="0069504E" w:rsidRDefault="00367359" w:rsidP="00367359">
      <w:pPr>
        <w:numPr>
          <w:ilvl w:val="1"/>
          <w:numId w:val="11"/>
        </w:numPr>
        <w:spacing w:before="100" w:beforeAutospacing="1" w:after="100" w:afterAutospacing="1" w:line="240" w:lineRule="auto"/>
        <w:rPr>
          <w:rFonts w:eastAsia="Times New Roman"/>
          <w:i/>
          <w:iCs/>
        </w:rPr>
      </w:pPr>
      <w:r w:rsidRPr="0069504E">
        <w:rPr>
          <w:rFonts w:eastAsia="Times New Roman"/>
          <w:i/>
          <w:iCs/>
        </w:rPr>
        <w:t>I will not act if the Standard is compromised.</w:t>
      </w:r>
    </w:p>
    <w:p w:rsidR="00367359" w:rsidRPr="0069504E" w:rsidRDefault="00367359" w:rsidP="00A11F05">
      <w:pPr>
        <w:spacing w:after="0" w:line="240" w:lineRule="auto"/>
        <w:rPr>
          <w:i/>
          <w:iCs/>
        </w:rPr>
      </w:pPr>
    </w:p>
    <w:sectPr w:rsidR="00367359" w:rsidRPr="0069504E" w:rsidSect="00367359">
      <w:footerReference w:type="default" r:id="rId13"/>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65D2" w:rsidRDefault="00E265D2" w:rsidP="00367359">
      <w:pPr>
        <w:spacing w:after="0" w:line="240" w:lineRule="auto"/>
      </w:pPr>
      <w:r>
        <w:separator/>
      </w:r>
    </w:p>
  </w:endnote>
  <w:endnote w:type="continuationSeparator" w:id="1">
    <w:p w:rsidR="00E265D2" w:rsidRDefault="00E265D2" w:rsidP="003673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5406547"/>
      <w:docPartObj>
        <w:docPartGallery w:val="Page Numbers (Bottom of Page)"/>
        <w:docPartUnique/>
      </w:docPartObj>
    </w:sdtPr>
    <w:sdtContent>
      <w:p w:rsidR="00310EF1" w:rsidRDefault="00310EF1" w:rsidP="00570995">
        <w:pPr>
          <w:pStyle w:val="Header"/>
        </w:pPr>
        <w:r w:rsidRPr="00570995">
          <w:t>GLHL</w:t>
        </w:r>
        <w:r>
          <w:t>TH 660</w:t>
        </w:r>
        <w:r>
          <w:tab/>
        </w:r>
        <w:r w:rsidR="00F25C19">
          <w:fldChar w:fldCharType="begin"/>
        </w:r>
        <w:r>
          <w:instrText xml:space="preserve"> PAGE   \* MERGEFORMAT </w:instrText>
        </w:r>
        <w:r w:rsidR="00F25C19">
          <w:fldChar w:fldCharType="separate"/>
        </w:r>
        <w:r w:rsidR="005C22E8">
          <w:rPr>
            <w:noProof/>
          </w:rPr>
          <w:t>5</w:t>
        </w:r>
        <w:r w:rsidR="00F25C19">
          <w:rPr>
            <w:noProof/>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65D2" w:rsidRDefault="00E265D2" w:rsidP="00367359">
      <w:pPr>
        <w:spacing w:after="0" w:line="240" w:lineRule="auto"/>
      </w:pPr>
      <w:r>
        <w:separator/>
      </w:r>
    </w:p>
  </w:footnote>
  <w:footnote w:type="continuationSeparator" w:id="1">
    <w:p w:rsidR="00E265D2" w:rsidRDefault="00E265D2" w:rsidP="0036735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F1195"/>
    <w:multiLevelType w:val="hybridMultilevel"/>
    <w:tmpl w:val="479C85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FFC6BDF"/>
    <w:multiLevelType w:val="hybridMultilevel"/>
    <w:tmpl w:val="1A2C889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A73AEF"/>
    <w:multiLevelType w:val="hybridMultilevel"/>
    <w:tmpl w:val="32F075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EBD6B00"/>
    <w:multiLevelType w:val="hybridMultilevel"/>
    <w:tmpl w:val="3BA20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0A41F8"/>
    <w:multiLevelType w:val="hybridMultilevel"/>
    <w:tmpl w:val="F47E1C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40E6665"/>
    <w:multiLevelType w:val="hybridMultilevel"/>
    <w:tmpl w:val="0D2A59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EF64A3C"/>
    <w:multiLevelType w:val="hybridMultilevel"/>
    <w:tmpl w:val="55BA44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2E543E3"/>
    <w:multiLevelType w:val="hybridMultilevel"/>
    <w:tmpl w:val="4C2A71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8485150"/>
    <w:multiLevelType w:val="hybridMultilevel"/>
    <w:tmpl w:val="67A80C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B49213F"/>
    <w:multiLevelType w:val="hybridMultilevel"/>
    <w:tmpl w:val="44D64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D4A0F9B"/>
    <w:multiLevelType w:val="hybridMultilevel"/>
    <w:tmpl w:val="C9D473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451182A"/>
    <w:multiLevelType w:val="hybridMultilevel"/>
    <w:tmpl w:val="C5CE13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F8E50EA"/>
    <w:multiLevelType w:val="hybridMultilevel"/>
    <w:tmpl w:val="B93A645A"/>
    <w:lvl w:ilvl="0" w:tplc="4648AED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D3E5321"/>
    <w:multiLevelType w:val="hybridMultilevel"/>
    <w:tmpl w:val="7D68A4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F45164F"/>
    <w:multiLevelType w:val="hybridMultilevel"/>
    <w:tmpl w:val="2B9C8B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4CE7C3D"/>
    <w:multiLevelType w:val="hybridMultilevel"/>
    <w:tmpl w:val="2230F5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AE0608A"/>
    <w:multiLevelType w:val="hybridMultilevel"/>
    <w:tmpl w:val="A3A0C6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6C6358A6"/>
    <w:multiLevelType w:val="hybridMultilevel"/>
    <w:tmpl w:val="5F5A61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736B2BF7"/>
    <w:multiLevelType w:val="hybridMultilevel"/>
    <w:tmpl w:val="A8BE1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B954AA9"/>
    <w:multiLevelType w:val="hybridMultilevel"/>
    <w:tmpl w:val="B526E0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7CB33BF0"/>
    <w:multiLevelType w:val="hybridMultilevel"/>
    <w:tmpl w:val="54E2D9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7EFE3CC9"/>
    <w:multiLevelType w:val="multilevel"/>
    <w:tmpl w:val="338837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6"/>
  </w:num>
  <w:num w:numId="3">
    <w:abstractNumId w:val="13"/>
  </w:num>
  <w:num w:numId="4">
    <w:abstractNumId w:val="17"/>
  </w:num>
  <w:num w:numId="5">
    <w:abstractNumId w:val="14"/>
  </w:num>
  <w:num w:numId="6">
    <w:abstractNumId w:val="11"/>
  </w:num>
  <w:num w:numId="7">
    <w:abstractNumId w:val="7"/>
  </w:num>
  <w:num w:numId="8">
    <w:abstractNumId w:val="15"/>
  </w:num>
  <w:num w:numId="9">
    <w:abstractNumId w:val="0"/>
  </w:num>
  <w:num w:numId="10">
    <w:abstractNumId w:val="1"/>
  </w:num>
  <w:num w:numId="11">
    <w:abstractNumId w:val="21"/>
  </w:num>
  <w:num w:numId="12">
    <w:abstractNumId w:val="19"/>
  </w:num>
  <w:num w:numId="13">
    <w:abstractNumId w:val="18"/>
  </w:num>
  <w:num w:numId="14">
    <w:abstractNumId w:val="6"/>
  </w:num>
  <w:num w:numId="15">
    <w:abstractNumId w:val="8"/>
  </w:num>
  <w:num w:numId="16">
    <w:abstractNumId w:val="20"/>
  </w:num>
  <w:num w:numId="17">
    <w:abstractNumId w:val="2"/>
  </w:num>
  <w:num w:numId="18">
    <w:abstractNumId w:val="10"/>
  </w:num>
  <w:num w:numId="19">
    <w:abstractNumId w:val="12"/>
  </w:num>
  <w:num w:numId="20">
    <w:abstractNumId w:val="9"/>
  </w:num>
  <w:num w:numId="21">
    <w:abstractNumId w:val="3"/>
  </w:num>
  <w:num w:numId="2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11F05"/>
    <w:rsid w:val="000038A9"/>
    <w:rsid w:val="000112A9"/>
    <w:rsid w:val="0006700D"/>
    <w:rsid w:val="000737B8"/>
    <w:rsid w:val="000868D8"/>
    <w:rsid w:val="000D48FA"/>
    <w:rsid w:val="00104B0D"/>
    <w:rsid w:val="00124845"/>
    <w:rsid w:val="00151144"/>
    <w:rsid w:val="001530C5"/>
    <w:rsid w:val="00155093"/>
    <w:rsid w:val="00163610"/>
    <w:rsid w:val="00191F46"/>
    <w:rsid w:val="001F76E0"/>
    <w:rsid w:val="00232A80"/>
    <w:rsid w:val="002442DA"/>
    <w:rsid w:val="00287DF9"/>
    <w:rsid w:val="0029464D"/>
    <w:rsid w:val="002A4DBC"/>
    <w:rsid w:val="002A76D9"/>
    <w:rsid w:val="002B492B"/>
    <w:rsid w:val="002F010A"/>
    <w:rsid w:val="00304DEE"/>
    <w:rsid w:val="00310EF1"/>
    <w:rsid w:val="00312E3E"/>
    <w:rsid w:val="003519B5"/>
    <w:rsid w:val="00367359"/>
    <w:rsid w:val="003B2644"/>
    <w:rsid w:val="003B2E6A"/>
    <w:rsid w:val="003D3A13"/>
    <w:rsid w:val="003E6424"/>
    <w:rsid w:val="004932DB"/>
    <w:rsid w:val="004A4FE6"/>
    <w:rsid w:val="004B0E14"/>
    <w:rsid w:val="004B1CB6"/>
    <w:rsid w:val="004D28EF"/>
    <w:rsid w:val="00506330"/>
    <w:rsid w:val="00570995"/>
    <w:rsid w:val="005B2262"/>
    <w:rsid w:val="005C22E8"/>
    <w:rsid w:val="005D7075"/>
    <w:rsid w:val="005E7702"/>
    <w:rsid w:val="006019E5"/>
    <w:rsid w:val="00621CF5"/>
    <w:rsid w:val="00625B55"/>
    <w:rsid w:val="006410E2"/>
    <w:rsid w:val="0069504E"/>
    <w:rsid w:val="006B68DF"/>
    <w:rsid w:val="006C6D2E"/>
    <w:rsid w:val="006E1C3C"/>
    <w:rsid w:val="00703FF0"/>
    <w:rsid w:val="0073257D"/>
    <w:rsid w:val="0074163A"/>
    <w:rsid w:val="00756F2F"/>
    <w:rsid w:val="00764317"/>
    <w:rsid w:val="007850E8"/>
    <w:rsid w:val="00792885"/>
    <w:rsid w:val="007B2E66"/>
    <w:rsid w:val="007C0497"/>
    <w:rsid w:val="008A6790"/>
    <w:rsid w:val="008B0B52"/>
    <w:rsid w:val="00903563"/>
    <w:rsid w:val="00905AF3"/>
    <w:rsid w:val="00920F79"/>
    <w:rsid w:val="00934556"/>
    <w:rsid w:val="00937CE2"/>
    <w:rsid w:val="0095007A"/>
    <w:rsid w:val="00991F7F"/>
    <w:rsid w:val="009929A5"/>
    <w:rsid w:val="00A11F05"/>
    <w:rsid w:val="00A52272"/>
    <w:rsid w:val="00AC0BF5"/>
    <w:rsid w:val="00AC68ED"/>
    <w:rsid w:val="00B032D0"/>
    <w:rsid w:val="00B21D6F"/>
    <w:rsid w:val="00B45C4C"/>
    <w:rsid w:val="00B67494"/>
    <w:rsid w:val="00B9139B"/>
    <w:rsid w:val="00BA06B7"/>
    <w:rsid w:val="00BE0876"/>
    <w:rsid w:val="00C2560B"/>
    <w:rsid w:val="00C864B1"/>
    <w:rsid w:val="00C94677"/>
    <w:rsid w:val="00CB6568"/>
    <w:rsid w:val="00CD5B87"/>
    <w:rsid w:val="00D67D46"/>
    <w:rsid w:val="00DA0B73"/>
    <w:rsid w:val="00DA3822"/>
    <w:rsid w:val="00DC5D45"/>
    <w:rsid w:val="00E121BB"/>
    <w:rsid w:val="00E1275F"/>
    <w:rsid w:val="00E265D2"/>
    <w:rsid w:val="00E577A8"/>
    <w:rsid w:val="00E63AD5"/>
    <w:rsid w:val="00F24B56"/>
    <w:rsid w:val="00F25C19"/>
    <w:rsid w:val="00F55319"/>
    <w:rsid w:val="00F64187"/>
    <w:rsid w:val="00F76A0B"/>
    <w:rsid w:val="00FA6535"/>
    <w:rsid w:val="00FC75C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B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5B87"/>
    <w:pPr>
      <w:ind w:left="720"/>
      <w:contextualSpacing/>
    </w:pPr>
  </w:style>
  <w:style w:type="character" w:styleId="Hyperlink">
    <w:name w:val="Hyperlink"/>
    <w:basedOn w:val="DefaultParagraphFont"/>
    <w:uiPriority w:val="99"/>
    <w:unhideWhenUsed/>
    <w:rsid w:val="00703FF0"/>
    <w:rPr>
      <w:color w:val="0000FF" w:themeColor="hyperlink"/>
      <w:u w:val="single"/>
    </w:rPr>
  </w:style>
  <w:style w:type="character" w:customStyle="1" w:styleId="guideurl">
    <w:name w:val="guideurl"/>
    <w:basedOn w:val="DefaultParagraphFont"/>
    <w:rsid w:val="00232A80"/>
  </w:style>
  <w:style w:type="table" w:styleId="TableGrid">
    <w:name w:val="Table Grid"/>
    <w:basedOn w:val="TableNormal"/>
    <w:uiPriority w:val="59"/>
    <w:rsid w:val="00232A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673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7359"/>
  </w:style>
  <w:style w:type="paragraph" w:styleId="Footer">
    <w:name w:val="footer"/>
    <w:basedOn w:val="Normal"/>
    <w:link w:val="FooterChar"/>
    <w:uiPriority w:val="99"/>
    <w:unhideWhenUsed/>
    <w:rsid w:val="003673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7359"/>
  </w:style>
  <w:style w:type="paragraph" w:styleId="BalloonText">
    <w:name w:val="Balloon Text"/>
    <w:basedOn w:val="Normal"/>
    <w:link w:val="BalloonTextChar"/>
    <w:uiPriority w:val="99"/>
    <w:semiHidden/>
    <w:unhideWhenUsed/>
    <w:rsid w:val="007928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2885"/>
    <w:rPr>
      <w:rFonts w:ascii="Tahoma" w:hAnsi="Tahoma" w:cs="Tahoma"/>
      <w:sz w:val="16"/>
      <w:szCs w:val="16"/>
    </w:rPr>
  </w:style>
  <w:style w:type="character" w:styleId="CommentReference">
    <w:name w:val="annotation reference"/>
    <w:basedOn w:val="DefaultParagraphFont"/>
    <w:uiPriority w:val="99"/>
    <w:semiHidden/>
    <w:unhideWhenUsed/>
    <w:rsid w:val="006019E5"/>
    <w:rPr>
      <w:sz w:val="16"/>
      <w:szCs w:val="16"/>
    </w:rPr>
  </w:style>
  <w:style w:type="paragraph" w:styleId="CommentText">
    <w:name w:val="annotation text"/>
    <w:basedOn w:val="Normal"/>
    <w:link w:val="CommentTextChar"/>
    <w:uiPriority w:val="99"/>
    <w:semiHidden/>
    <w:unhideWhenUsed/>
    <w:rsid w:val="006019E5"/>
    <w:pPr>
      <w:spacing w:line="240" w:lineRule="auto"/>
    </w:pPr>
    <w:rPr>
      <w:sz w:val="20"/>
      <w:szCs w:val="20"/>
    </w:rPr>
  </w:style>
  <w:style w:type="character" w:customStyle="1" w:styleId="CommentTextChar">
    <w:name w:val="Comment Text Char"/>
    <w:basedOn w:val="DefaultParagraphFont"/>
    <w:link w:val="CommentText"/>
    <w:uiPriority w:val="99"/>
    <w:semiHidden/>
    <w:rsid w:val="006019E5"/>
    <w:rPr>
      <w:sz w:val="20"/>
      <w:szCs w:val="20"/>
    </w:rPr>
  </w:style>
  <w:style w:type="paragraph" w:styleId="CommentSubject">
    <w:name w:val="annotation subject"/>
    <w:basedOn w:val="CommentText"/>
    <w:next w:val="CommentText"/>
    <w:link w:val="CommentSubjectChar"/>
    <w:uiPriority w:val="99"/>
    <w:semiHidden/>
    <w:unhideWhenUsed/>
    <w:rsid w:val="006019E5"/>
    <w:rPr>
      <w:b/>
      <w:bCs/>
    </w:rPr>
  </w:style>
  <w:style w:type="character" w:customStyle="1" w:styleId="CommentSubjectChar">
    <w:name w:val="Comment Subject Char"/>
    <w:basedOn w:val="CommentTextChar"/>
    <w:link w:val="CommentSubject"/>
    <w:uiPriority w:val="99"/>
    <w:semiHidden/>
    <w:rsid w:val="006019E5"/>
    <w:rPr>
      <w:b/>
      <w:bCs/>
      <w:sz w:val="20"/>
      <w:szCs w:val="20"/>
    </w:rPr>
  </w:style>
</w:styles>
</file>

<file path=word/webSettings.xml><?xml version="1.0" encoding="utf-8"?>
<w:webSettings xmlns:r="http://schemas.openxmlformats.org/officeDocument/2006/relationships" xmlns:w="http://schemas.openxmlformats.org/wordprocessingml/2006/main">
  <w:divs>
    <w:div w:id="559560262">
      <w:bodyDiv w:val="1"/>
      <w:marLeft w:val="0"/>
      <w:marRight w:val="0"/>
      <w:marTop w:val="0"/>
      <w:marBottom w:val="0"/>
      <w:divBdr>
        <w:top w:val="none" w:sz="0" w:space="0" w:color="auto"/>
        <w:left w:val="none" w:sz="0" w:space="0" w:color="auto"/>
        <w:bottom w:val="none" w:sz="0" w:space="0" w:color="auto"/>
        <w:right w:val="none" w:sz="0" w:space="0" w:color="auto"/>
      </w:divBdr>
    </w:div>
    <w:div w:id="950823856">
      <w:bodyDiv w:val="1"/>
      <w:marLeft w:val="0"/>
      <w:marRight w:val="0"/>
      <w:marTop w:val="0"/>
      <w:marBottom w:val="0"/>
      <w:divBdr>
        <w:top w:val="none" w:sz="0" w:space="0" w:color="auto"/>
        <w:left w:val="none" w:sz="0" w:space="0" w:color="auto"/>
        <w:bottom w:val="none" w:sz="0" w:space="0" w:color="auto"/>
        <w:right w:val="none" w:sz="0" w:space="0" w:color="auto"/>
      </w:divBdr>
    </w:div>
    <w:div w:id="1038895427">
      <w:bodyDiv w:val="1"/>
      <w:marLeft w:val="0"/>
      <w:marRight w:val="0"/>
      <w:marTop w:val="0"/>
      <w:marBottom w:val="0"/>
      <w:divBdr>
        <w:top w:val="none" w:sz="0" w:space="0" w:color="auto"/>
        <w:left w:val="none" w:sz="0" w:space="0" w:color="auto"/>
        <w:bottom w:val="none" w:sz="0" w:space="0" w:color="auto"/>
        <w:right w:val="none" w:sz="0" w:space="0" w:color="auto"/>
      </w:divBdr>
    </w:div>
    <w:div w:id="1376546724">
      <w:bodyDiv w:val="1"/>
      <w:marLeft w:val="0"/>
      <w:marRight w:val="0"/>
      <w:marTop w:val="0"/>
      <w:marBottom w:val="0"/>
      <w:divBdr>
        <w:top w:val="none" w:sz="0" w:space="0" w:color="auto"/>
        <w:left w:val="none" w:sz="0" w:space="0" w:color="auto"/>
        <w:bottom w:val="none" w:sz="0" w:space="0" w:color="auto"/>
        <w:right w:val="none" w:sz="0" w:space="0" w:color="auto"/>
      </w:divBdr>
    </w:div>
    <w:div w:id="1740976881">
      <w:bodyDiv w:val="1"/>
      <w:marLeft w:val="0"/>
      <w:marRight w:val="0"/>
      <w:marTop w:val="0"/>
      <w:marBottom w:val="0"/>
      <w:divBdr>
        <w:top w:val="none" w:sz="0" w:space="0" w:color="auto"/>
        <w:left w:val="none" w:sz="0" w:space="0" w:color="auto"/>
        <w:bottom w:val="none" w:sz="0" w:space="0" w:color="auto"/>
        <w:right w:val="none" w:sz="0" w:space="0" w:color="auto"/>
      </w:divBdr>
    </w:div>
    <w:div w:id="2075739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d.com/speakers/vikram_patel.htm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brandon.kohrt@dm.duke.edu" TargetMode="External"/><Relationship Id="rId12" Type="http://schemas.openxmlformats.org/officeDocument/2006/relationships/hyperlink" Target="http://www.integrity.duke.edu/new.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x.doi.org/10.1016/j.socscimed.2014.07.057"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who.int/mental_health/world-mental-health-day/2015/en/" TargetMode="External"/><Relationship Id="rId4" Type="http://schemas.openxmlformats.org/officeDocument/2006/relationships/webSettings" Target="webSettings.xml"/><Relationship Id="rId9" Type="http://schemas.openxmlformats.org/officeDocument/2006/relationships/hyperlink" Target="http://www.who.int/mental_health/mhgap/e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151</TotalTime>
  <Pages>1</Pages>
  <Words>2993</Words>
  <Characters>17065</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Brandon</dc:creator>
  <cp:lastModifiedBy>moe abdi</cp:lastModifiedBy>
  <cp:revision>11</cp:revision>
  <dcterms:created xsi:type="dcterms:W3CDTF">2015-09-14T14:59:00Z</dcterms:created>
  <dcterms:modified xsi:type="dcterms:W3CDTF">2015-10-19T20:18:00Z</dcterms:modified>
</cp:coreProperties>
</file>